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360" w:lineRule="exact"/>
        <w:rPr>
          <w:rFonts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禽畜养殖业、小型企业和第三产业水污染物污染当量值</w:t>
      </w:r>
    </w:p>
    <w:p>
      <w:pPr>
        <w:widowControl/>
        <w:spacing w:line="400" w:lineRule="exact"/>
        <w:jc w:val="center"/>
        <w:rPr>
          <w:rFonts w:ascii="方正小标宋简体" w:hAnsi="黑体" w:eastAsia="方正小标宋简体"/>
          <w:color w:val="000000"/>
          <w:spacing w:val="-4"/>
          <w:sz w:val="36"/>
          <w:szCs w:val="36"/>
        </w:rPr>
      </w:pPr>
    </w:p>
    <w:tbl>
      <w:tblPr>
        <w:tblStyle w:val="3"/>
        <w:tblW w:w="844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99"/>
        <w:gridCol w:w="1982"/>
        <w:gridCol w:w="1419"/>
        <w:gridCol w:w="284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" w:hRule="atLeas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color w:val="000000"/>
                <w:kern w:val="0"/>
                <w:sz w:val="24"/>
                <w:lang w:val="zh-CN"/>
              </w:rPr>
              <w:t>类型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color w:val="000000"/>
                <w:kern w:val="0"/>
                <w:sz w:val="24"/>
                <w:lang w:val="zh-CN"/>
              </w:rPr>
              <w:t>污染当量值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禽畜养殖场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tabs>
                <w:tab w:val="center" w:pos="1019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牛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0.1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头</w:t>
            </w:r>
          </w:p>
        </w:tc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仅对存栏规模大于</w:t>
            </w: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头牛、</w:t>
            </w: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头猪、</w:t>
            </w: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5000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羽鸡鸭等的禽畜养殖场征收。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猪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头</w:t>
            </w: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鸡、鸭等家禽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羽</w:t>
            </w: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小型企业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1.8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吨污水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饮食娱乐服务业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0.5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吨污水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医院</w:t>
            </w: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消毒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0.14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床</w:t>
            </w:r>
          </w:p>
        </w:tc>
        <w:tc>
          <w:tcPr>
            <w:tcW w:w="2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医院病床数大于</w:t>
            </w: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张的按照本表计算污染当量。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2.8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吨污水</w:t>
            </w: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不消毒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0.07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床</w:t>
            </w: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exact"/>
          <w:jc w:val="center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1.4</w:t>
            </w: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吨污水</w:t>
            </w:r>
          </w:p>
        </w:tc>
        <w:tc>
          <w:tcPr>
            <w:tcW w:w="2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 w:val="22"/>
                <w:lang w:val="zh-CN"/>
              </w:rPr>
            </w:pPr>
          </w:p>
        </w:tc>
      </w:tr>
    </w:tbl>
    <w:p>
      <w:pPr>
        <w:rPr>
          <w:color w:val="000000"/>
        </w:rPr>
      </w:pPr>
    </w:p>
    <w:p/>
    <w:p>
      <w:p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529"/>
    <w:rsid w:val="6367507B"/>
    <w:rsid w:val="6D535020"/>
    <w:rsid w:val="72B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2018-04-04T01:15:00Z</dcterms:created>
  <dc:creator>白钰</dc:creator>
  <cp:lastModifiedBy>白钰</cp:lastModifiedBy>
  <dcterms:modified xsi:type="dcterms:W3CDTF">2018-04-04T01:15:43Z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