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4"/>
          <w:szCs w:val="44"/>
        </w:rPr>
      </w:pPr>
    </w:p>
    <w:p>
      <w:pPr>
        <w:jc w:val="center"/>
        <w:rPr>
          <w:rFonts w:ascii="仿宋_GB2312" w:eastAsia="仿宋_GB2312"/>
          <w:b/>
          <w:sz w:val="44"/>
          <w:szCs w:val="44"/>
        </w:rPr>
      </w:pPr>
      <w:bookmarkStart w:id="4" w:name="_GoBack"/>
      <w:bookmarkEnd w:id="4"/>
    </w:p>
    <w:p>
      <w:pPr>
        <w:jc w:val="center"/>
        <w:rPr>
          <w:rFonts w:ascii="仿宋_GB2312" w:eastAsia="仿宋_GB2312"/>
          <w:b/>
          <w:sz w:val="44"/>
          <w:szCs w:val="44"/>
        </w:rPr>
      </w:pPr>
    </w:p>
    <w:p>
      <w:pPr>
        <w:jc w:val="center"/>
        <w:rPr>
          <w:rFonts w:hint="eastAsia" w:ascii="华文中宋" w:hAnsi="华文中宋" w:eastAsia="华文中宋" w:cs="华文中宋"/>
          <w:b/>
          <w:bCs w:val="0"/>
          <w:sz w:val="44"/>
          <w:szCs w:val="44"/>
          <w:lang w:eastAsia="zh-CN"/>
        </w:rPr>
      </w:pPr>
      <w:r>
        <w:rPr>
          <w:rFonts w:hint="eastAsia" w:ascii="华文中宋" w:hAnsi="华文中宋" w:eastAsia="华文中宋" w:cs="华文中宋"/>
          <w:b/>
          <w:bCs w:val="0"/>
          <w:sz w:val="44"/>
          <w:szCs w:val="44"/>
          <w:lang w:eastAsia="zh-CN"/>
        </w:rPr>
        <w:t>青海</w:t>
      </w:r>
      <w:r>
        <w:rPr>
          <w:rFonts w:hint="eastAsia" w:ascii="华文中宋" w:hAnsi="华文中宋" w:eastAsia="华文中宋" w:cs="华文中宋"/>
          <w:b/>
          <w:bCs w:val="0"/>
          <w:sz w:val="44"/>
          <w:szCs w:val="44"/>
        </w:rPr>
        <w:t>省废铅电池</w:t>
      </w:r>
      <w:r>
        <w:rPr>
          <w:rFonts w:hint="eastAsia" w:ascii="华文中宋" w:hAnsi="华文中宋" w:eastAsia="华文中宋" w:cs="华文中宋"/>
          <w:b/>
          <w:bCs w:val="0"/>
          <w:sz w:val="44"/>
          <w:szCs w:val="44"/>
          <w:lang w:eastAsia="zh-CN"/>
        </w:rPr>
        <w:t>集中</w:t>
      </w:r>
      <w:r>
        <w:rPr>
          <w:rFonts w:hint="eastAsia" w:ascii="华文中宋" w:hAnsi="华文中宋" w:eastAsia="华文中宋" w:cs="华文中宋"/>
          <w:b/>
          <w:bCs w:val="0"/>
          <w:sz w:val="44"/>
          <w:szCs w:val="44"/>
        </w:rPr>
        <w:t>收集和</w:t>
      </w:r>
      <w:r>
        <w:rPr>
          <w:rFonts w:hint="eastAsia" w:ascii="华文中宋" w:hAnsi="华文中宋" w:eastAsia="华文中宋" w:cs="华文中宋"/>
          <w:b/>
          <w:bCs w:val="0"/>
          <w:sz w:val="44"/>
          <w:szCs w:val="44"/>
          <w:lang w:eastAsia="zh-CN"/>
        </w:rPr>
        <w:t>跨区域</w:t>
      </w:r>
    </w:p>
    <w:p>
      <w:pPr>
        <w:jc w:val="center"/>
        <w:rPr>
          <w:rFonts w:hint="eastAsia" w:ascii="华文中宋" w:hAnsi="华文中宋" w:eastAsia="华文中宋" w:cs="华文中宋"/>
          <w:b/>
          <w:bCs w:val="0"/>
          <w:sz w:val="44"/>
          <w:szCs w:val="44"/>
        </w:rPr>
      </w:pPr>
      <w:r>
        <w:rPr>
          <w:rFonts w:hint="eastAsia" w:ascii="华文中宋" w:hAnsi="华文中宋" w:eastAsia="华文中宋" w:cs="华文中宋"/>
          <w:b/>
          <w:bCs w:val="0"/>
          <w:sz w:val="44"/>
          <w:szCs w:val="44"/>
        </w:rPr>
        <w:t>转移制度试点实施方案</w:t>
      </w:r>
    </w:p>
    <w:p>
      <w:pPr>
        <w:spacing w:after="240"/>
        <w:jc w:val="center"/>
        <w:rPr>
          <w:rFonts w:ascii="仿宋_GB2312" w:eastAsia="仿宋_GB2312"/>
          <w:b w:val="0"/>
          <w:bCs/>
          <w:sz w:val="36"/>
          <w:szCs w:val="36"/>
        </w:rPr>
      </w:pPr>
    </w:p>
    <w:p>
      <w:pPr>
        <w:spacing w:after="240"/>
        <w:jc w:val="center"/>
        <w:rPr>
          <w:rFonts w:hint="eastAsia" w:ascii="仿宋_GB2312" w:eastAsia="仿宋_GB2312"/>
          <w:b/>
          <w:sz w:val="48"/>
          <w:szCs w:val="48"/>
          <w:lang w:val="en-US" w:eastAsia="zh-CN"/>
        </w:rPr>
      </w:pPr>
      <w:r>
        <w:rPr>
          <w:rFonts w:hint="eastAsia" w:ascii="仿宋_GB2312" w:eastAsia="仿宋_GB2312"/>
          <w:b/>
          <w:sz w:val="48"/>
          <w:szCs w:val="48"/>
          <w:lang w:val="en-US" w:eastAsia="zh-CN"/>
        </w:rPr>
        <w:t xml:space="preserve"> </w:t>
      </w:r>
    </w:p>
    <w:p>
      <w:pPr>
        <w:spacing w:after="240"/>
        <w:jc w:val="center"/>
        <w:rPr>
          <w:rFonts w:ascii="仿宋_GB2312" w:eastAsia="仿宋_GB2312"/>
          <w:b/>
          <w:sz w:val="48"/>
          <w:szCs w:val="48"/>
        </w:rPr>
      </w:pPr>
    </w:p>
    <w:p>
      <w:pPr>
        <w:spacing w:after="240"/>
        <w:jc w:val="center"/>
        <w:rPr>
          <w:rFonts w:ascii="仿宋_GB2312" w:eastAsia="仿宋_GB2312"/>
          <w:b/>
          <w:sz w:val="48"/>
          <w:szCs w:val="48"/>
        </w:rPr>
      </w:pPr>
    </w:p>
    <w:p>
      <w:pPr>
        <w:spacing w:after="240"/>
        <w:jc w:val="center"/>
        <w:rPr>
          <w:rFonts w:ascii="仿宋_GB2312" w:eastAsia="仿宋_GB2312"/>
          <w:b/>
          <w:sz w:val="48"/>
          <w:szCs w:val="48"/>
        </w:rPr>
      </w:pPr>
    </w:p>
    <w:p>
      <w:pPr>
        <w:spacing w:after="240"/>
        <w:jc w:val="center"/>
        <w:rPr>
          <w:rFonts w:ascii="仿宋_GB2312" w:eastAsia="仿宋_GB2312"/>
          <w:b/>
          <w:sz w:val="36"/>
          <w:szCs w:val="36"/>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0" w:firstLineChars="0"/>
        <w:jc w:val="center"/>
        <w:textAlignment w:val="auto"/>
        <w:outlineLvl w:val="9"/>
        <w:rPr>
          <w:rFonts w:hint="eastAsia" w:ascii="楷体_GB2312" w:hAnsi="楷体_GB2312" w:eastAsia="楷体_GB2312" w:cs="楷体_GB2312"/>
          <w:b/>
          <w:sz w:val="36"/>
          <w:szCs w:val="36"/>
          <w:lang w:eastAsia="zh-CN"/>
        </w:rPr>
      </w:pPr>
      <w:r>
        <w:rPr>
          <w:rFonts w:hint="eastAsia" w:ascii="楷体_GB2312" w:hAnsi="楷体_GB2312" w:eastAsia="楷体_GB2312" w:cs="楷体_GB2312"/>
          <w:b/>
          <w:sz w:val="36"/>
          <w:szCs w:val="36"/>
          <w:lang w:eastAsia="zh-CN"/>
        </w:rPr>
        <w:t>青海省生态环境厅</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0" w:firstLineChars="0"/>
        <w:jc w:val="center"/>
        <w:textAlignment w:val="auto"/>
        <w:outlineLvl w:val="9"/>
        <w:rPr>
          <w:rFonts w:hint="eastAsia" w:ascii="楷体_GB2312" w:hAnsi="楷体_GB2312" w:eastAsia="楷体_GB2312" w:cs="楷体_GB2312"/>
          <w:b/>
          <w:sz w:val="36"/>
          <w:szCs w:val="36"/>
          <w:lang w:val="en-US" w:eastAsia="zh-CN"/>
        </w:rPr>
      </w:pPr>
      <w:r>
        <w:rPr>
          <w:rFonts w:hint="eastAsia" w:ascii="楷体_GB2312" w:hAnsi="楷体_GB2312" w:eastAsia="楷体_GB2312" w:cs="楷体_GB2312"/>
          <w:b/>
          <w:sz w:val="36"/>
          <w:szCs w:val="36"/>
          <w:lang w:val="en-US" w:eastAsia="zh-CN"/>
        </w:rPr>
        <w:t>2019年3月</w:t>
      </w:r>
    </w:p>
    <w:p>
      <w:pPr>
        <w:widowControl/>
        <w:jc w:val="left"/>
        <w:rPr>
          <w:rFonts w:hint="eastAsia" w:ascii="楷体_GB2312" w:hAnsi="楷体_GB2312" w:eastAsia="楷体_GB2312" w:cs="楷体_GB2312"/>
          <w:b/>
          <w:sz w:val="36"/>
          <w:szCs w:val="36"/>
        </w:rPr>
        <w:sectPr>
          <w:footerReference r:id="rId3" w:type="default"/>
          <w:pgSz w:w="11906" w:h="16838"/>
          <w:pgMar w:top="1440" w:right="1800" w:bottom="1440" w:left="1800" w:header="851" w:footer="992" w:gutter="0"/>
          <w:pgNumType w:fmt="numberInDash" w:start="0"/>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仿宋" w:hAnsi="仿宋" w:eastAsia="仿宋" w:cs="仿宋"/>
          <w:sz w:val="32"/>
          <w:szCs w:val="32"/>
          <w:lang w:eastAsia="zh-CN"/>
        </w:rPr>
      </w:pPr>
      <w:bookmarkStart w:id="0" w:name="_Toc465928069"/>
      <w:r>
        <w:rPr>
          <w:rFonts w:hint="eastAsia" w:ascii="仿宋" w:hAnsi="仿宋" w:eastAsia="仿宋" w:cs="仿宋"/>
          <w:sz w:val="32"/>
          <w:szCs w:val="32"/>
          <w:lang w:eastAsia="zh-CN"/>
        </w:rPr>
        <w:t>为全面落实《废铅蓄电池污染防治行动方案》，构建符合我省实际的废铅蓄电池收集转运体系，严厉打击非法收集拆解废铅蓄电池违法犯罪活动，防范废铅蓄电池收集处置不当引发的环境污染风险隐患，根据《生态环境部办公厅</w:t>
      </w:r>
      <w:r>
        <w:rPr>
          <w:rFonts w:hint="eastAsia" w:ascii="仿宋" w:hAnsi="仿宋" w:eastAsia="仿宋" w:cs="仿宋"/>
          <w:sz w:val="32"/>
          <w:szCs w:val="32"/>
          <w:lang w:val="en-US" w:eastAsia="zh-CN"/>
        </w:rPr>
        <w:t xml:space="preserve"> 交通运输部办公厅关于印发&lt;铅蓄电池生产企业集中收集和跨区域转运制度试点工作方案&gt;的通知</w:t>
      </w:r>
      <w:r>
        <w:rPr>
          <w:rFonts w:hint="eastAsia" w:ascii="仿宋" w:hAnsi="仿宋" w:eastAsia="仿宋" w:cs="仿宋"/>
          <w:sz w:val="32"/>
          <w:szCs w:val="32"/>
          <w:lang w:eastAsia="zh-CN"/>
        </w:rPr>
        <w:t>》（环办固体〔</w:t>
      </w:r>
      <w:r>
        <w:rPr>
          <w:rFonts w:hint="eastAsia" w:ascii="仿宋" w:hAnsi="仿宋" w:eastAsia="仿宋" w:cs="仿宋"/>
          <w:sz w:val="32"/>
          <w:szCs w:val="32"/>
          <w:lang w:val="en-US" w:eastAsia="zh-CN"/>
        </w:rPr>
        <w:t>2019〕5号</w:t>
      </w:r>
      <w:r>
        <w:rPr>
          <w:rFonts w:hint="eastAsia" w:ascii="仿宋" w:hAnsi="仿宋" w:eastAsia="仿宋" w:cs="仿宋"/>
          <w:sz w:val="32"/>
          <w:szCs w:val="32"/>
          <w:lang w:eastAsia="zh-CN"/>
        </w:rPr>
        <w:t>）要求，制定本方案。</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（一）指导思想</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全面贯彻党的十九大和十九届二中、三中全会精神，以习近平新时代中国特色社会主义思想为指导，</w:t>
      </w:r>
      <w:r>
        <w:rPr>
          <w:rFonts w:hint="eastAsia" w:ascii="仿宋_GB2312" w:hAnsi="仿宋_GB2312" w:eastAsia="仿宋_GB2312" w:cs="仿宋_GB2312"/>
          <w:sz w:val="32"/>
          <w:szCs w:val="32"/>
        </w:rPr>
        <w:t>全面落实</w:t>
      </w:r>
      <w:r>
        <w:rPr>
          <w:rFonts w:hint="eastAsia" w:ascii="仿宋_GB2312" w:hAnsi="仿宋_GB2312" w:eastAsia="仿宋_GB2312" w:cs="仿宋_GB2312"/>
          <w:sz w:val="32"/>
          <w:szCs w:val="32"/>
          <w:lang w:eastAsia="zh-CN"/>
        </w:rPr>
        <w:t>全国生态环境保护大会和</w:t>
      </w:r>
      <w:r>
        <w:rPr>
          <w:rFonts w:hint="eastAsia" w:ascii="仿宋_GB2312" w:hAnsi="仿宋_GB2312" w:eastAsia="仿宋_GB2312" w:cs="仿宋_GB2312"/>
          <w:sz w:val="32"/>
          <w:szCs w:val="32"/>
        </w:rPr>
        <w:t>全省生态环境工作会议要求，</w:t>
      </w:r>
      <w:r>
        <w:rPr>
          <w:rFonts w:hint="eastAsia" w:ascii="仿宋" w:hAnsi="仿宋" w:eastAsia="仿宋" w:cs="仿宋"/>
          <w:kern w:val="2"/>
          <w:sz w:val="32"/>
          <w:szCs w:val="32"/>
          <w:lang w:val="en-US" w:eastAsia="zh-CN" w:bidi="ar-SA"/>
        </w:rPr>
        <w:t>坚持和贯彻绿色发展理念，将废铅蓄电池污染防治作为打好我省污染防治攻坚战的重要内容，完善源头严防、过程严管、后果严惩的监管体系，严厉打击涉废铅蓄电池违法犯罪行为，建立规范的废铅蓄电池收集处理体系，有效遏制非法收集处理造成的环境污染，维护生态环境安全，保护人民群众身体健康。</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（二）基本原则</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政府推动，企业主导。发挥政府部门的积极引导和政策支持作用，发挥铅蓄电池销售企业和具有废铅蓄电池收集经营许可证的单位的骨干作用，形成有利的制度体系和市场环境。</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因地制宜，优势互补。充分利用现有铅蓄电池销售网点和废铅蓄电池收集持证单位的集中贮存设施，构建符合实际、运行高效的收集转运体系。</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严格审核，规范管理。严格组织审核与过程监管，强化试点企业主体责任，积极探索铅蓄电池生产企业集中收集和跨区域转运管理模式。</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分类管理，防控风险。根据废铅蓄电池环境风险大小，实施分类管理，着力防控废铅蓄电池集中收集和跨区域转运的环境风险。</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（三）工作目标</w:t>
      </w:r>
      <w:bookmarkEnd w:id="0"/>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752" w:firstLineChars="235"/>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全面规范废铅蓄电池收集、贮存和转移全过程，提高全省废铅蓄电池环境监管水平，逐步实现废铅蓄电池无序收集向有序收集方式的转变，形成较为成熟的废铅蓄电池收集、贮存、转移管理制度，有效遏制非法收集处置废铅蓄电池违法行为。到2020年，全省废铅蓄电池规范回收率达到40%以上。</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二、工作依据</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（一）《中华人民共和国固体废物污染环境防治法》（2016年修订版）；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（二）《危险废物经营许可证管理办法》（国务院令第408号）；</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（三）《危险废物转移联单管理办法》（国家环保总局令 1999年第5号）；</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（四）废铅蓄电池污染防治行动方案（环办固体〔2019〕3号）；</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（五）生态环境部办公厅 交通运输部办公厅关于印发《铅蓄电池生产企业集中收集和跨区域转运制度试点工作方案》的通知（环办固体〔2019〕5号）；</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（六）《国家危险废物名录》（2016版）；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（七）《铅蓄电池生产及再生污染防治技术政策》（2016年版）；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（八）《废铅蓄电池处理污染控制技术规范》（HJ 519-2009）；</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（九）《铅蓄电池行业规范条件（2015 年版）》(工信部 2015年第 85 号公告)；</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（十）《废电池污染防治技术政策》（2016年版）；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（十一）《危险废物贮存污染控制标准》（GB18597-2001）。</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3"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三、试点范围及试点时限</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在全省范围内开展废铅电池集中收集和跨区域转移制度试点，试点期为本方案下发之日起至2020年12月31日。</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bookmarkStart w:id="1" w:name="_Toc465928071"/>
      <w:r>
        <w:rPr>
          <w:rFonts w:hint="eastAsia" w:ascii="黑体" w:hAnsi="黑体" w:eastAsia="黑体" w:cs="黑体"/>
          <w:b w:val="0"/>
          <w:bCs w:val="0"/>
          <w:sz w:val="32"/>
          <w:szCs w:val="32"/>
          <w:lang w:val="en-US" w:eastAsia="zh-CN"/>
        </w:rPr>
        <w:t>四、主要内容</w:t>
      </w:r>
      <w:bookmarkEnd w:id="1"/>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（一）建立铅蓄电池销售网点集中收集模式</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试点单位可以依托铅蓄电池销售网点、机动车4S店、维修网点等设立收集网点（以下简称收集网点），收集日常生活中产生的废铅蓄电池。并根据环境风险大小将废铅蓄电池分为未破损的密封式免维护废铅蓄电池（以下简称第I类废铅蓄电池）和开口式废铅蓄电池和破损的密封式免维护废铅蓄电池（以下简称第Ⅱ类废铅蓄电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（二）规范集中贮存场所运营</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试点单位应当依托现有废铅蓄电池收集经营单位的专用贮存场所（以下简称集中转运点），通过委托回收、联合回收等方式开展废铅蓄电池的集中贮存工作，避免重复投资建设造成资源浪费。也可根据《青海省固体废物污染防治规划（2018-2022年）》确定的布点区域新建集中转运点，以自行回收模式开展废铅蓄电池收集活动。集中转运点必须按照国家相关法律法规要求履行环境影响评价手续，其建设应当符合《危险废物贮存污染控制标准》（GB18597-2001）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（三）提升废铅蓄电池转运效率</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收集网点向集中转运点转移第I类废铅蓄电池，应当做好台账记录，如实记录废铅蓄电池的数量、重量、来源、去向等信息。收集网点向集中转运点转移第Ⅱ类废铅蓄电池的，以及企业事业单位向集中转运点、集中转运点向废铅蓄电池利用处置单位转移废铅蓄电池的，应填写危险废物转移联单。</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鉴于我省目前不具备废铅蓄电池集中处置能力，各试点单位及废铅蓄电池收集经营单位收集的废铅蓄电池必须跨省（区、市）跨省转出。省生态环境厅将优先对存在长期合作关系的试点单位简化跨省转移审批手续，试点企业在确定运输单位、运输车辆、接受单位后，转移申请可进行一次性审批。</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五、工作要求。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（一）试点企业条件</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1、</w:t>
      </w:r>
      <w:r>
        <w:rPr>
          <w:rFonts w:hint="eastAsia" w:ascii="仿宋" w:hAnsi="仿宋" w:eastAsia="仿宋" w:cs="仿宋"/>
          <w:b/>
          <w:bCs/>
          <w:sz w:val="32"/>
          <w:szCs w:val="32"/>
          <w:lang w:eastAsia="zh-CN"/>
        </w:rPr>
        <w:t>收集网点基本条件</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（1）具有覆盖面较广的铅蓄电池</w:t>
      </w:r>
      <w:r>
        <w:rPr>
          <w:rFonts w:hint="eastAsia" w:ascii="仿宋" w:hAnsi="仿宋" w:eastAsia="仿宋" w:cs="仿宋"/>
          <w:sz w:val="32"/>
          <w:szCs w:val="32"/>
          <w:lang w:eastAsia="zh-CN"/>
        </w:rPr>
        <w:t>销售</w:t>
      </w:r>
      <w:r>
        <w:rPr>
          <w:rFonts w:hint="eastAsia" w:ascii="仿宋" w:hAnsi="仿宋" w:eastAsia="仿宋" w:cs="仿宋"/>
          <w:sz w:val="32"/>
          <w:szCs w:val="32"/>
        </w:rPr>
        <w:t>网络。</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20" w:firstLineChars="194"/>
        <w:textAlignment w:val="auto"/>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sz w:val="32"/>
          <w:szCs w:val="32"/>
        </w:rPr>
        <w:t>（2）</w:t>
      </w:r>
      <w:r>
        <w:rPr>
          <w:rFonts w:hint="eastAsia" w:ascii="仿宋" w:hAnsi="仿宋" w:eastAsia="仿宋" w:cs="仿宋"/>
          <w:sz w:val="32"/>
          <w:szCs w:val="32"/>
          <w:lang w:eastAsia="zh-CN"/>
        </w:rPr>
        <w:t>可以以销售单位库房作为暂存库，但必须与产品电池隔离，独立分区存放，</w:t>
      </w:r>
      <w:r>
        <w:rPr>
          <w:rFonts w:hint="eastAsia" w:ascii="仿宋" w:hAnsi="仿宋" w:eastAsia="仿宋" w:cs="仿宋"/>
          <w:sz w:val="32"/>
          <w:szCs w:val="32"/>
        </w:rPr>
        <w:t>面积不少于3平方米；具有硬化地面及耐腐蚀包装容器；贮存时间最长</w:t>
      </w:r>
      <w:r>
        <w:rPr>
          <w:rFonts w:hint="eastAsia" w:ascii="仿宋" w:hAnsi="仿宋" w:eastAsia="仿宋" w:cs="仿宋"/>
          <w:sz w:val="32"/>
          <w:szCs w:val="32"/>
          <w:lang w:eastAsia="zh-CN"/>
        </w:rPr>
        <w:t>应</w:t>
      </w:r>
      <w:r>
        <w:rPr>
          <w:rFonts w:hint="eastAsia" w:ascii="仿宋" w:hAnsi="仿宋" w:eastAsia="仿宋" w:cs="仿宋"/>
          <w:sz w:val="32"/>
          <w:szCs w:val="32"/>
        </w:rPr>
        <w:t>不超过60天</w:t>
      </w:r>
      <w:r>
        <w:rPr>
          <w:rFonts w:hint="eastAsia" w:ascii="仿宋" w:hAnsi="仿宋" w:eastAsia="仿宋" w:cs="仿宋"/>
          <w:sz w:val="32"/>
          <w:szCs w:val="32"/>
          <w:lang w:eastAsia="zh-CN"/>
        </w:rPr>
        <w:t>。</w:t>
      </w:r>
      <w:r>
        <w:rPr>
          <w:rFonts w:hint="eastAsia" w:ascii="仿宋" w:hAnsi="仿宋" w:eastAsia="仿宋" w:cs="仿宋"/>
          <w:bCs/>
          <w:sz w:val="32"/>
          <w:szCs w:val="32"/>
        </w:rPr>
        <w:t>须设有防火装置和警示标志，并安装监控系统。禁</w:t>
      </w:r>
      <w:r>
        <w:rPr>
          <w:rFonts w:hint="eastAsia" w:ascii="仿宋" w:hAnsi="仿宋" w:eastAsia="仿宋" w:cs="仿宋"/>
          <w:bCs/>
          <w:color w:val="000000" w:themeColor="text1"/>
          <w:sz w:val="32"/>
          <w:szCs w:val="32"/>
          <w14:textFill>
            <w14:solidFill>
              <w14:schemeClr w14:val="tx1"/>
            </w14:solidFill>
          </w14:textFill>
        </w:rPr>
        <w:t>止将废铅酸蓄电池堆放在露天场地，避免废蓄电池遭受雨淋水浸。</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（3）有</w:t>
      </w:r>
      <w:r>
        <w:rPr>
          <w:rFonts w:hint="eastAsia" w:ascii="仿宋" w:hAnsi="仿宋" w:eastAsia="仿宋" w:cs="仿宋"/>
          <w:sz w:val="32"/>
          <w:szCs w:val="32"/>
          <w:lang w:val="en-US" w:eastAsia="zh-CN"/>
        </w:rPr>
        <w:t>1</w:t>
      </w:r>
      <w:r>
        <w:rPr>
          <w:rFonts w:hint="eastAsia" w:ascii="仿宋" w:hAnsi="仿宋" w:eastAsia="仿宋" w:cs="仿宋"/>
          <w:sz w:val="32"/>
          <w:szCs w:val="32"/>
        </w:rPr>
        <w:t>名以上专业从事危险废物处理处置的技术人员</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（4）有较强的法律意识、环境意识及社会责任感，无不良经营记录，近</w:t>
      </w:r>
      <w:r>
        <w:rPr>
          <w:rFonts w:hint="eastAsia" w:ascii="仿宋" w:hAnsi="仿宋" w:eastAsia="仿宋" w:cs="仿宋"/>
          <w:sz w:val="32"/>
          <w:szCs w:val="32"/>
          <w:lang w:val="en-US" w:eastAsia="zh-CN"/>
        </w:rPr>
        <w:t>1</w:t>
      </w:r>
      <w:r>
        <w:rPr>
          <w:rFonts w:hint="eastAsia" w:ascii="仿宋" w:hAnsi="仿宋" w:eastAsia="仿宋" w:cs="仿宋"/>
          <w:sz w:val="32"/>
          <w:szCs w:val="32"/>
        </w:rPr>
        <w:t>年内未发生环境污染事故和环境违法行为，未受到环保部门行政处罚。</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集中</w:t>
      </w:r>
      <w:r>
        <w:rPr>
          <w:rFonts w:hint="eastAsia" w:ascii="仿宋" w:hAnsi="仿宋" w:eastAsia="仿宋" w:cs="仿宋"/>
          <w:b/>
          <w:bCs/>
          <w:sz w:val="32"/>
          <w:szCs w:val="32"/>
          <w:lang w:eastAsia="zh-CN"/>
        </w:rPr>
        <w:t>转运点</w:t>
      </w:r>
      <w:r>
        <w:rPr>
          <w:rFonts w:hint="eastAsia" w:ascii="仿宋" w:hAnsi="仿宋" w:eastAsia="仿宋" w:cs="仿宋"/>
          <w:b/>
          <w:bCs/>
          <w:sz w:val="32"/>
          <w:szCs w:val="32"/>
        </w:rPr>
        <w:t>基本条件</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585"/>
        <w:textAlignment w:val="auto"/>
        <w:rPr>
          <w:rFonts w:hint="eastAsia" w:ascii="仿宋" w:hAnsi="仿宋" w:eastAsia="仿宋" w:cs="仿宋"/>
          <w:sz w:val="32"/>
          <w:szCs w:val="32"/>
        </w:rPr>
      </w:pPr>
      <w:r>
        <w:rPr>
          <w:rFonts w:hint="eastAsia" w:ascii="仿宋" w:hAnsi="仿宋" w:eastAsia="仿宋" w:cs="仿宋"/>
          <w:sz w:val="32"/>
          <w:szCs w:val="32"/>
        </w:rPr>
        <w:t>（1）企业</w:t>
      </w:r>
      <w:r>
        <w:rPr>
          <w:rFonts w:hint="eastAsia" w:ascii="仿宋" w:hAnsi="仿宋" w:eastAsia="仿宋" w:cs="仿宋"/>
          <w:sz w:val="32"/>
          <w:szCs w:val="32"/>
          <w:lang w:eastAsia="zh-CN"/>
        </w:rPr>
        <w:t>已获得废铅蓄电池（收集）</w:t>
      </w:r>
      <w:r>
        <w:rPr>
          <w:rFonts w:hint="eastAsia" w:ascii="仿宋" w:hAnsi="仿宋" w:eastAsia="仿宋" w:cs="仿宋"/>
          <w:sz w:val="32"/>
          <w:szCs w:val="32"/>
        </w:rPr>
        <w:t>危险废物经营许可证，注册资本在200万元以上，且具有一定市场风险承担能力，年经营业绩在</w:t>
      </w:r>
      <w:r>
        <w:rPr>
          <w:rFonts w:hint="eastAsia" w:ascii="仿宋" w:hAnsi="仿宋" w:eastAsia="仿宋" w:cs="仿宋"/>
          <w:sz w:val="32"/>
          <w:szCs w:val="32"/>
          <w:lang w:val="en-US" w:eastAsia="zh-CN"/>
        </w:rPr>
        <w:t>3</w:t>
      </w:r>
      <w:r>
        <w:rPr>
          <w:rFonts w:hint="eastAsia" w:ascii="仿宋" w:hAnsi="仿宋" w:eastAsia="仿宋" w:cs="仿宋"/>
          <w:sz w:val="32"/>
          <w:szCs w:val="32"/>
        </w:rPr>
        <w:t>00万人民币以上</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585"/>
        <w:textAlignment w:val="auto"/>
        <w:rPr>
          <w:rFonts w:hint="eastAsia" w:ascii="仿宋" w:hAnsi="仿宋" w:eastAsia="仿宋" w:cs="仿宋"/>
          <w:sz w:val="32"/>
          <w:szCs w:val="32"/>
        </w:rPr>
      </w:pPr>
      <w:r>
        <w:rPr>
          <w:rFonts w:hint="eastAsia" w:ascii="仿宋" w:hAnsi="仿宋" w:eastAsia="仿宋" w:cs="仿宋"/>
          <w:sz w:val="32"/>
          <w:szCs w:val="32"/>
        </w:rPr>
        <w:t>（2）具备</w:t>
      </w:r>
      <w:r>
        <w:rPr>
          <w:rFonts w:hint="eastAsia" w:ascii="仿宋" w:hAnsi="仿宋" w:eastAsia="仿宋" w:cs="仿宋"/>
          <w:sz w:val="32"/>
          <w:szCs w:val="32"/>
          <w:lang w:eastAsia="zh-CN"/>
        </w:rPr>
        <w:t>符合《道路危险货物运输管理规定》和原青海省环境保护厅</w:t>
      </w:r>
      <w:r>
        <w:rPr>
          <w:rFonts w:hint="eastAsia" w:ascii="仿宋" w:hAnsi="仿宋" w:eastAsia="仿宋" w:cs="仿宋"/>
          <w:sz w:val="32"/>
          <w:szCs w:val="32"/>
          <w:lang w:val="en-US" w:eastAsia="zh-CN"/>
        </w:rPr>
        <w:t xml:space="preserve"> 青海省交通运输厅 青海省公安厅《关于进一步加强危险废物运输管理工作的通知》规定的</w:t>
      </w:r>
      <w:r>
        <w:rPr>
          <w:rFonts w:hint="eastAsia" w:ascii="仿宋" w:hAnsi="仿宋" w:eastAsia="仿宋" w:cs="仿宋"/>
          <w:sz w:val="32"/>
          <w:szCs w:val="32"/>
        </w:rPr>
        <w:t>专用的废铅蓄电池</w:t>
      </w:r>
      <w:r>
        <w:rPr>
          <w:rFonts w:hint="eastAsia" w:ascii="仿宋" w:hAnsi="仿宋" w:eastAsia="仿宋" w:cs="仿宋"/>
          <w:sz w:val="32"/>
          <w:szCs w:val="32"/>
          <w:lang w:eastAsia="zh-CN"/>
        </w:rPr>
        <w:t>运输工具，或有与具备危险货物运输资质和能力的运输公司签订的长期合作协议。</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585"/>
        <w:textAlignment w:val="auto"/>
        <w:rPr>
          <w:rFonts w:hint="eastAsia" w:ascii="仿宋" w:hAnsi="仿宋" w:eastAsia="仿宋" w:cs="仿宋"/>
          <w:sz w:val="32"/>
          <w:szCs w:val="32"/>
        </w:rPr>
      </w:pPr>
      <w:r>
        <w:rPr>
          <w:rFonts w:hint="eastAsia" w:ascii="仿宋" w:hAnsi="仿宋" w:eastAsia="仿宋" w:cs="仿宋"/>
          <w:sz w:val="32"/>
          <w:szCs w:val="32"/>
        </w:rPr>
        <w:t>（3）具有符合国家或者地方环境保护标准和安全要求的贮存场址</w:t>
      </w:r>
      <w:r>
        <w:rPr>
          <w:rFonts w:hint="eastAsia" w:ascii="仿宋" w:hAnsi="仿宋" w:eastAsia="仿宋" w:cs="仿宋"/>
          <w:sz w:val="32"/>
          <w:szCs w:val="32"/>
          <w:lang w:eastAsia="zh-CN"/>
        </w:rPr>
        <w:t>，</w:t>
      </w:r>
      <w:r>
        <w:rPr>
          <w:rFonts w:hint="eastAsia" w:ascii="仿宋" w:hAnsi="仿宋" w:eastAsia="仿宋" w:cs="仿宋"/>
          <w:sz w:val="32"/>
          <w:szCs w:val="32"/>
        </w:rPr>
        <w:t>贮存设施面积不少于</w:t>
      </w:r>
      <w:r>
        <w:rPr>
          <w:rFonts w:hint="eastAsia" w:ascii="仿宋" w:hAnsi="仿宋" w:eastAsia="仿宋" w:cs="仿宋"/>
          <w:sz w:val="32"/>
          <w:szCs w:val="32"/>
          <w:lang w:val="en-US" w:eastAsia="zh-CN"/>
        </w:rPr>
        <w:t>100</w:t>
      </w:r>
      <w:r>
        <w:rPr>
          <w:rFonts w:hint="eastAsia" w:ascii="仿宋" w:hAnsi="仿宋" w:eastAsia="仿宋" w:cs="仿宋"/>
          <w:sz w:val="32"/>
          <w:szCs w:val="32"/>
        </w:rPr>
        <w:t>平方米；具有硬化地面、必要的防渗措施及耐腐蚀包装容器；具有废酸液应急收集处理措施；贮存时间最长不超过1年。</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585"/>
        <w:textAlignment w:val="auto"/>
        <w:rPr>
          <w:rFonts w:hint="eastAsia" w:ascii="仿宋" w:hAnsi="仿宋" w:eastAsia="仿宋" w:cs="仿宋"/>
          <w:sz w:val="32"/>
          <w:szCs w:val="32"/>
        </w:rPr>
      </w:pPr>
      <w:r>
        <w:rPr>
          <w:rFonts w:hint="eastAsia" w:ascii="仿宋" w:hAnsi="仿宋" w:eastAsia="仿宋" w:cs="仿宋"/>
          <w:sz w:val="32"/>
          <w:szCs w:val="32"/>
        </w:rPr>
        <w:t>（4）有</w:t>
      </w:r>
      <w:r>
        <w:rPr>
          <w:rFonts w:hint="eastAsia" w:ascii="仿宋" w:hAnsi="仿宋" w:eastAsia="仿宋" w:cs="仿宋"/>
          <w:sz w:val="32"/>
          <w:szCs w:val="32"/>
          <w:lang w:val="en-US" w:eastAsia="zh-CN"/>
        </w:rPr>
        <w:t>3</w:t>
      </w:r>
      <w:r>
        <w:rPr>
          <w:rFonts w:hint="eastAsia" w:ascii="仿宋" w:hAnsi="仿宋" w:eastAsia="仿宋" w:cs="仿宋"/>
          <w:sz w:val="32"/>
          <w:szCs w:val="32"/>
        </w:rPr>
        <w:t>名以上专业从事危险废物处理处置的技术人员；</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585"/>
        <w:textAlignment w:val="auto"/>
        <w:rPr>
          <w:rFonts w:hint="eastAsia" w:ascii="仿宋" w:hAnsi="仿宋" w:eastAsia="仿宋" w:cs="仿宋"/>
          <w:sz w:val="32"/>
          <w:szCs w:val="32"/>
        </w:rPr>
      </w:pPr>
      <w:r>
        <w:rPr>
          <w:rFonts w:hint="eastAsia" w:ascii="仿宋" w:hAnsi="仿宋" w:eastAsia="仿宋" w:cs="仿宋"/>
          <w:sz w:val="32"/>
          <w:szCs w:val="32"/>
        </w:rPr>
        <w:t>（5）有较强的法律意识、环境意识及社会责任感，无不良经营记录，近</w:t>
      </w:r>
      <w:r>
        <w:rPr>
          <w:rFonts w:hint="eastAsia" w:ascii="仿宋" w:hAnsi="仿宋" w:eastAsia="仿宋" w:cs="仿宋"/>
          <w:sz w:val="32"/>
          <w:szCs w:val="32"/>
          <w:lang w:val="en-US" w:eastAsia="zh-CN"/>
        </w:rPr>
        <w:t>1</w:t>
      </w:r>
      <w:r>
        <w:rPr>
          <w:rFonts w:hint="eastAsia" w:ascii="仿宋" w:hAnsi="仿宋" w:eastAsia="仿宋" w:cs="仿宋"/>
          <w:sz w:val="32"/>
          <w:szCs w:val="32"/>
        </w:rPr>
        <w:t>年内未发生环境污染事故和环境违法行为，未受到环保部门行政处罚。</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贮存场所应配备实时视频监控系统，即在厂门口、厂界、贮存库内外等关键部位建立视频监控系统，确保试点企业对废铅蓄电池的全天候全方位安全管理。</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（7）收集体系不少于100家收集网点。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（二）转运管理要求</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lang w:eastAsia="zh-CN"/>
        </w:rPr>
        <w:t>收集网点</w:t>
      </w:r>
      <w:r>
        <w:rPr>
          <w:rFonts w:hint="eastAsia" w:ascii="仿宋" w:hAnsi="仿宋" w:eastAsia="仿宋" w:cs="仿宋"/>
          <w:sz w:val="32"/>
          <w:szCs w:val="32"/>
        </w:rPr>
        <w:t>先统一将分散收集的社会源废铅</w:t>
      </w:r>
      <w:r>
        <w:rPr>
          <w:rFonts w:hint="eastAsia" w:ascii="仿宋" w:hAnsi="仿宋" w:eastAsia="仿宋" w:cs="仿宋"/>
          <w:sz w:val="32"/>
          <w:szCs w:val="32"/>
          <w:lang w:eastAsia="zh-CN"/>
        </w:rPr>
        <w:t>电池</w:t>
      </w:r>
      <w:r>
        <w:rPr>
          <w:rFonts w:hint="eastAsia" w:ascii="仿宋" w:hAnsi="仿宋" w:eastAsia="仿宋" w:cs="仿宋"/>
          <w:sz w:val="32"/>
          <w:szCs w:val="32"/>
        </w:rPr>
        <w:t>运输</w:t>
      </w:r>
      <w:r>
        <w:rPr>
          <w:rFonts w:hint="eastAsia" w:ascii="仿宋" w:hAnsi="仿宋" w:eastAsia="仿宋" w:cs="仿宋"/>
          <w:sz w:val="32"/>
          <w:szCs w:val="32"/>
          <w:lang w:eastAsia="zh-CN"/>
        </w:rPr>
        <w:t>集中收集暂存</w:t>
      </w:r>
      <w:r>
        <w:rPr>
          <w:rFonts w:hint="eastAsia" w:ascii="仿宋" w:hAnsi="仿宋" w:eastAsia="仿宋" w:cs="仿宋"/>
          <w:sz w:val="32"/>
          <w:szCs w:val="32"/>
        </w:rPr>
        <w:t>，在</w:t>
      </w:r>
      <w:r>
        <w:rPr>
          <w:rFonts w:hint="eastAsia" w:ascii="仿宋" w:hAnsi="仿宋" w:eastAsia="仿宋" w:cs="仿宋"/>
          <w:sz w:val="32"/>
          <w:szCs w:val="32"/>
          <w:lang w:eastAsia="zh-CN"/>
        </w:rPr>
        <w:t>暂存</w:t>
      </w:r>
      <w:r>
        <w:rPr>
          <w:rFonts w:hint="eastAsia" w:ascii="仿宋" w:hAnsi="仿宋" w:eastAsia="仿宋" w:cs="仿宋"/>
          <w:sz w:val="32"/>
          <w:szCs w:val="32"/>
        </w:rPr>
        <w:t>量达到一定量后运送</w:t>
      </w:r>
      <w:r>
        <w:rPr>
          <w:rFonts w:hint="eastAsia" w:ascii="仿宋" w:hAnsi="仿宋" w:eastAsia="仿宋" w:cs="仿宋"/>
          <w:sz w:val="32"/>
          <w:szCs w:val="32"/>
          <w:lang w:eastAsia="zh-CN"/>
        </w:rPr>
        <w:t>对应的集中转运点。</w:t>
      </w:r>
      <w:r>
        <w:rPr>
          <w:rFonts w:hint="eastAsia" w:ascii="仿宋" w:hAnsi="仿宋" w:eastAsia="仿宋" w:cs="仿宋"/>
          <w:kern w:val="2"/>
          <w:sz w:val="32"/>
          <w:szCs w:val="32"/>
          <w:lang w:val="en-US" w:eastAsia="zh-CN" w:bidi="ar-SA"/>
        </w:rPr>
        <w:t>收集网点只能与一个集中转运点建立对应关系，接受集中转运点的管理并由试点单位向社会公布。</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收集网点收集过程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可豁免危险废物管理要求，可不需要填写危险废物转移联单，但需要建立收集暂存台账；也</w:t>
      </w:r>
      <w:r>
        <w:rPr>
          <w:rFonts w:hint="eastAsia" w:ascii="仿宋_GB2312" w:hAnsi="仿宋_GB2312" w:eastAsia="仿宋_GB2312" w:cs="仿宋_GB2312"/>
          <w:color w:val="000000" w:themeColor="text1"/>
          <w:sz w:val="32"/>
          <w:szCs w:val="32"/>
          <w:lang w:eastAsia="zh-CN"/>
          <w14:textFill>
            <w14:solidFill>
              <w14:schemeClr w14:val="tx1"/>
            </w14:solidFill>
          </w14:textFill>
        </w:rPr>
        <w:t>可以不使用危险货物专用车辆，但必须为收集网点自有车辆。</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收集网点向集中转运点转移第Ⅰ类废铅蓄电池，应做好台账记录，如实记录废铅蓄电池的数量、重量、来源、去向等信息，无需填写危险废物转移联单。满足以下条件</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的废铅蓄电池，转移过程可按照普通货物进行管理，豁免运输企业资质、专业车辆和从业人员资格等危险货物运输管理要求：</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（1）符合《危险货物道路运输规则 第3部分：品名及运输要求索引》（JT/T 617.3）附录B所列第238项特殊规定，危险货物联合国编号为“2800”（蓄电池，湿的，不溢出的，蓄存电的）的废铅蓄电池。</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（2）不符合《危险货物道路运输规则 第3部分：品名及运输要求索引》（JT/T 617.3）附录B所列第238项特殊规定，但符合《危险货物道路运输规则 第1部分：通则》（JT/T 617.1）第5.1条要求，每个运输单元载运重量不高于500公斤的危险货物联合国编号为“2800”（蓄电池，湿的，不溢出的，蓄存电的）的废铅蓄电池。</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（3）符合《危险货物道路运输规则 第1部分：通则》（JT/T 617.1）第5.1条要求，每个运输单元载运重量不高于500公斤的危险货物联合国编号为“2794”（蓄电池，湿的，装有酸液的，蓄存电的）的废铅蓄电池。</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收集网点向集中转运点转移第Ⅱ类废铅蓄电池的，以及企事业单位向集中转运点、</w:t>
      </w:r>
      <w:r>
        <w:rPr>
          <w:rFonts w:hint="eastAsia" w:ascii="仿宋_GB2312" w:hAnsi="仿宋_GB2312" w:eastAsia="仿宋_GB2312" w:cs="仿宋_GB2312"/>
          <w:color w:val="000000" w:themeColor="text1"/>
          <w:sz w:val="32"/>
          <w:szCs w:val="32"/>
          <w14:textFill>
            <w14:solidFill>
              <w14:schemeClr w14:val="tx1"/>
            </w14:solidFill>
          </w14:textFill>
        </w:rPr>
        <w:t>集中</w:t>
      </w:r>
      <w:r>
        <w:rPr>
          <w:rFonts w:hint="eastAsia" w:ascii="仿宋_GB2312" w:hAnsi="仿宋_GB2312" w:eastAsia="仿宋_GB2312" w:cs="仿宋_GB2312"/>
          <w:color w:val="000000" w:themeColor="text1"/>
          <w:sz w:val="32"/>
          <w:szCs w:val="32"/>
          <w:lang w:eastAsia="zh-CN"/>
          <w14:textFill>
            <w14:solidFill>
              <w14:schemeClr w14:val="tx1"/>
            </w14:solidFill>
          </w14:textFill>
        </w:rPr>
        <w:t>转运点需要</w:t>
      </w:r>
      <w:r>
        <w:rPr>
          <w:rFonts w:hint="eastAsia" w:ascii="仿宋_GB2312" w:hAnsi="仿宋_GB2312" w:eastAsia="仿宋_GB2312" w:cs="仿宋_GB2312"/>
          <w:color w:val="000000" w:themeColor="text1"/>
          <w:sz w:val="32"/>
          <w:szCs w:val="32"/>
          <w14:textFill>
            <w14:solidFill>
              <w14:schemeClr w14:val="tx1"/>
            </w14:solidFill>
          </w14:textFill>
        </w:rPr>
        <w:t>跨省转移</w:t>
      </w:r>
      <w:r>
        <w:rPr>
          <w:rFonts w:hint="eastAsia" w:ascii="仿宋_GB2312" w:hAnsi="仿宋_GB2312" w:eastAsia="仿宋_GB2312" w:cs="仿宋_GB2312"/>
          <w:color w:val="000000" w:themeColor="text1"/>
          <w:sz w:val="32"/>
          <w:szCs w:val="32"/>
          <w:lang w:eastAsia="zh-CN"/>
          <w14:textFill>
            <w14:solidFill>
              <w14:schemeClr w14:val="tx1"/>
            </w14:solidFill>
          </w14:textFill>
        </w:rPr>
        <w:t>处置等三种情形，必须由</w:t>
      </w:r>
      <w:r>
        <w:rPr>
          <w:rFonts w:hint="eastAsia" w:ascii="仿宋_GB2312" w:hAnsi="仿宋_GB2312" w:eastAsia="仿宋_GB2312" w:cs="仿宋_GB2312"/>
          <w:color w:val="000000" w:themeColor="text1"/>
          <w:sz w:val="32"/>
          <w:szCs w:val="32"/>
          <w14:textFill>
            <w14:solidFill>
              <w14:schemeClr w14:val="tx1"/>
            </w14:solidFill>
          </w14:textFill>
        </w:rPr>
        <w:t>具有运输危险废物资质的专用车辆</w:t>
      </w:r>
      <w:r>
        <w:rPr>
          <w:rFonts w:hint="eastAsia" w:ascii="仿宋_GB2312" w:hAnsi="仿宋_GB2312" w:eastAsia="仿宋_GB2312" w:cs="仿宋_GB2312"/>
          <w:color w:val="000000" w:themeColor="text1"/>
          <w:sz w:val="32"/>
          <w:szCs w:val="32"/>
          <w:lang w:eastAsia="zh-CN"/>
          <w14:textFill>
            <w14:solidFill>
              <w14:schemeClr w14:val="tx1"/>
            </w14:solidFill>
          </w14:textFill>
        </w:rPr>
        <w:t>承运，运行危险废物转移电子联单，同时满足以下条件：</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不得将废铅蓄电池破碎、粉碎，以防止电池中有害成分的泄漏污染。</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应具有废铅蓄电池运输资质和对废铅蓄电池发生破裂、泄漏或其他事故进行处理的能力。废铅蓄电池必须在防颠簸、耐腐蚀的密封容器中运输，以防发生泄漏。</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废铅蓄电池运输过程中，公路运输车辆应安装标志灯并在车辆后厢板显著部位悬挂具有泄漏性、腐蚀性的标志牌。</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废铅蓄电池运输车辆</w:t>
      </w:r>
      <w:r>
        <w:rPr>
          <w:rFonts w:hint="eastAsia" w:ascii="仿宋" w:hAnsi="仿宋" w:eastAsia="仿宋" w:cs="仿宋"/>
          <w:sz w:val="32"/>
          <w:szCs w:val="32"/>
          <w:lang w:eastAsia="zh-CN"/>
        </w:rPr>
        <w:t>需按照规定的路线行驶，不得随意变更</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应制定详细的运输方案及运输路线，按照预定的路线和时间表运输，并就危险废物运输过程中可能发生的事故或特殊问题进行预警，并制定有效、可行的应急预案，以保证在收集运输过程中发生事故时能有效地减少以至防止对环境的污染。</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废铅蓄电池运输车辆驾驶员和押运人员应当配备个人防护设备，并进行防火、防泄漏等应急救援方面的培训，以及通过何种方式联络应急响应人员。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（三）环境管理要求</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23" w:firstLineChars="194"/>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1、台账管理要求。</w:t>
      </w:r>
      <w:r>
        <w:rPr>
          <w:rFonts w:hint="eastAsia" w:ascii="仿宋" w:hAnsi="仿宋" w:eastAsia="仿宋" w:cs="仿宋"/>
          <w:sz w:val="32"/>
          <w:szCs w:val="32"/>
          <w:lang w:eastAsia="zh-CN"/>
        </w:rPr>
        <w:t>试点单位要</w:t>
      </w:r>
      <w:r>
        <w:rPr>
          <w:rFonts w:hint="eastAsia" w:ascii="仿宋" w:hAnsi="仿宋" w:eastAsia="仿宋" w:cs="仿宋"/>
          <w:sz w:val="32"/>
          <w:szCs w:val="32"/>
        </w:rPr>
        <w:t>制定完整的台账管理制度，如实记录废铅蓄电池的类型、来源、数量、特性和包装容器的类别、入库日期、存放库位、废物出库日期、接收单位名称以及有无事故等</w:t>
      </w:r>
      <w:r>
        <w:rPr>
          <w:rFonts w:hint="eastAsia" w:ascii="仿宋" w:hAnsi="仿宋" w:eastAsia="仿宋" w:cs="仿宋"/>
          <w:sz w:val="32"/>
          <w:szCs w:val="32"/>
          <w:lang w:eastAsia="zh-CN"/>
        </w:rPr>
        <w:t>，并通过青海省固体废物管理信息系统上传。</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23" w:firstLineChars="194"/>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监测管理要求。</w:t>
      </w:r>
      <w:r>
        <w:rPr>
          <w:rFonts w:hint="eastAsia" w:ascii="仿宋" w:hAnsi="仿宋" w:eastAsia="仿宋" w:cs="仿宋"/>
          <w:sz w:val="32"/>
          <w:szCs w:val="32"/>
        </w:rPr>
        <w:t>建立对废铅蓄电池贮存设施以及周边一公里范围内的地下水、土壤和大气质量的</w:t>
      </w:r>
      <w:r>
        <w:rPr>
          <w:rFonts w:hint="eastAsia" w:ascii="仿宋" w:hAnsi="仿宋" w:eastAsia="仿宋" w:cs="仿宋"/>
          <w:sz w:val="32"/>
          <w:szCs w:val="32"/>
          <w:lang w:eastAsia="zh-CN"/>
        </w:rPr>
        <w:t>自行</w:t>
      </w:r>
      <w:r>
        <w:rPr>
          <w:rFonts w:hint="eastAsia" w:ascii="仿宋" w:hAnsi="仿宋" w:eastAsia="仿宋" w:cs="仿宋"/>
          <w:sz w:val="32"/>
          <w:szCs w:val="32"/>
        </w:rPr>
        <w:t>监测制度；确定因发生意外突发事件造成土壤污染等环境污染时消除污染的保障措施。</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23" w:firstLineChars="194"/>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应急预案</w:t>
      </w:r>
      <w:r>
        <w:rPr>
          <w:rFonts w:hint="eastAsia" w:ascii="仿宋" w:hAnsi="仿宋" w:eastAsia="仿宋" w:cs="仿宋"/>
          <w:b/>
          <w:bCs/>
          <w:sz w:val="32"/>
          <w:szCs w:val="32"/>
          <w:lang w:eastAsia="zh-CN"/>
        </w:rPr>
        <w:t>要求。</w:t>
      </w:r>
      <w:r>
        <w:rPr>
          <w:rFonts w:hint="eastAsia" w:ascii="仿宋" w:hAnsi="仿宋" w:eastAsia="仿宋" w:cs="仿宋"/>
          <w:sz w:val="32"/>
          <w:szCs w:val="32"/>
        </w:rPr>
        <w:t>建立应急预案并定期演练。应急预案至少应包括：废铅酸蓄电池收集、贮存、运输过程中发生事故时的应急预案、突发事故应急救援措施。包括：对可能发生的意外事故的类型分析；防止发生意外突发事故的措施以及设备、设施、装置情况；发生意外突发事件时的上报程序和联系办法；应对突发事件的撤离疏散计划等。</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23" w:firstLineChars="194"/>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人员培训</w:t>
      </w:r>
      <w:r>
        <w:rPr>
          <w:rFonts w:hint="eastAsia" w:ascii="仿宋" w:hAnsi="仿宋" w:eastAsia="仿宋" w:cs="仿宋"/>
          <w:b/>
          <w:bCs/>
          <w:sz w:val="32"/>
          <w:szCs w:val="32"/>
          <w:lang w:eastAsia="zh-CN"/>
        </w:rPr>
        <w:t>要求。</w:t>
      </w:r>
      <w:r>
        <w:rPr>
          <w:rFonts w:hint="eastAsia" w:ascii="仿宋" w:hAnsi="仿宋" w:eastAsia="仿宋" w:cs="仿宋"/>
          <w:sz w:val="32"/>
          <w:szCs w:val="32"/>
          <w:lang w:eastAsia="zh-CN"/>
        </w:rPr>
        <w:t>试点单位必须将人员培训纳入企业日常运行全过程中，</w:t>
      </w:r>
      <w:r>
        <w:rPr>
          <w:rFonts w:hint="eastAsia" w:ascii="仿宋" w:hAnsi="仿宋" w:eastAsia="仿宋" w:cs="仿宋"/>
          <w:sz w:val="32"/>
          <w:szCs w:val="32"/>
        </w:rPr>
        <w:t>熟悉有关废铅酸蓄电池铅回收管理的法律和规章制度；了解废铅酸蓄电池收集、贮存、运输过程危险性方面的知识；明确铅运输、贮存过程污染防治要求； 熟悉处理泄漏和其他事故的应急操作程序。熟悉转移联单制度、危险废物经营记录簿制度相关要求。</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23" w:firstLineChars="194"/>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5、信息报送要求。</w:t>
      </w:r>
      <w:r>
        <w:rPr>
          <w:rFonts w:hint="eastAsia" w:ascii="仿宋" w:hAnsi="仿宋" w:eastAsia="仿宋" w:cs="仿宋"/>
          <w:sz w:val="32"/>
          <w:szCs w:val="32"/>
          <w:lang w:val="en-US" w:eastAsia="zh-CN"/>
        </w:rPr>
        <w:t>试点期间，试点单位应在每月 10 日前向青海省固体废物污染防治中心报送上月废铅蓄电池收集、贮存和转移等情况（附件1），并在试点工作结束后报送试点工作总结。</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bookmarkStart w:id="2" w:name="_Toc465928085"/>
      <w:r>
        <w:rPr>
          <w:rFonts w:hint="eastAsia" w:ascii="黑体" w:hAnsi="黑体" w:eastAsia="黑体" w:cs="黑体"/>
          <w:b w:val="0"/>
          <w:bCs w:val="0"/>
          <w:sz w:val="32"/>
          <w:szCs w:val="32"/>
          <w:lang w:val="en-US" w:eastAsia="zh-CN"/>
        </w:rPr>
        <w:t>六、工作程序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（一）提交试点申请</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我省辖区内废铅蓄电池收集危险废物经营许可证持证企业可在本方案公布后30个工作日内以自愿的原则向环境保护厅申请。</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申请单位必须填写《青海省废铅蓄电池集中收集和跨区域转移制度试点单位申请报告》</w:t>
      </w:r>
      <w:r>
        <w:rPr>
          <w:rFonts w:hint="eastAsia" w:ascii="仿宋" w:hAnsi="仿宋" w:eastAsia="仿宋" w:cs="仿宋"/>
          <w:color w:val="auto"/>
          <w:sz w:val="32"/>
          <w:szCs w:val="32"/>
          <w:lang w:val="en-US" w:eastAsia="zh-CN"/>
        </w:rPr>
        <w:t>（附件2），</w:t>
      </w:r>
      <w:r>
        <w:rPr>
          <w:rFonts w:hint="eastAsia" w:ascii="仿宋" w:hAnsi="仿宋" w:eastAsia="仿宋" w:cs="仿宋"/>
          <w:sz w:val="32"/>
          <w:szCs w:val="32"/>
          <w:lang w:val="en-US" w:eastAsia="zh-CN"/>
        </w:rPr>
        <w:t>并提供相关证明材料，提交青海省生态环境厅。</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（二）开展现场核查</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青海省生态环境厅组织市县（区）环境保护部门、相关单位及专家对申请单位进行论证，并开展现场核查（附件3），对符合要求的试点单位报青海省生态环境厅批复同意纳入试点；对不符合条件的申请单位，书面通知其不纳入本次试点范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（三）确定试点名单</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青海省生态环境厅确定试点单位后，在厅门户网站公布试点单位及其收集点、集中转运点名单、基本信息（包括收集点名称、服务范围、地址、联系人等）及相关要求（附件4）。</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（四）开展试点收集贮存工作</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试点单位在服务范围内进行收集、存储。在收集过程中不得对废铅蓄电池的品牌、种类、型号等信息进行限制。试点单位应加强对其收集点、集中转运点的日常管理，</w:t>
      </w:r>
      <w:r>
        <w:rPr>
          <w:rFonts w:hint="eastAsia" w:ascii="仿宋" w:hAnsi="仿宋" w:eastAsia="仿宋" w:cs="仿宋"/>
          <w:sz w:val="32"/>
          <w:szCs w:val="32"/>
        </w:rPr>
        <w:t>落实废铅蓄电池环境管理主体责任。</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七、保障措施</w:t>
      </w:r>
      <w:bookmarkEnd w:id="2"/>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（一）突出源头管理，建立规范的收集转移体系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620" w:firstLineChars="194"/>
        <w:textAlignment w:val="auto"/>
        <w:rPr>
          <w:rFonts w:hint="eastAsia" w:ascii="仿宋" w:hAnsi="仿宋" w:eastAsia="仿宋" w:cs="仿宋"/>
          <w:sz w:val="32"/>
          <w:szCs w:val="32"/>
        </w:rPr>
      </w:pPr>
      <w:r>
        <w:rPr>
          <w:rFonts w:hint="eastAsia" w:ascii="仿宋" w:hAnsi="仿宋" w:eastAsia="仿宋" w:cs="仿宋"/>
          <w:sz w:val="32"/>
          <w:szCs w:val="32"/>
        </w:rPr>
        <w:t>加强废铅蓄电池源头管理，依托铅蓄电池销售企业、专业收集企业等建立规范的废铅蓄电池收集转移体系，通过评估向合格试点企业发放</w:t>
      </w:r>
      <w:r>
        <w:rPr>
          <w:rFonts w:hint="eastAsia" w:ascii="仿宋" w:hAnsi="仿宋" w:eastAsia="仿宋" w:cs="仿宋"/>
          <w:sz w:val="32"/>
          <w:szCs w:val="32"/>
          <w:lang w:eastAsia="zh-CN"/>
        </w:rPr>
        <w:t>危险废物经营（试点）许可证</w:t>
      </w:r>
      <w:r>
        <w:rPr>
          <w:rFonts w:hint="eastAsia" w:ascii="仿宋" w:hAnsi="仿宋" w:eastAsia="仿宋" w:cs="仿宋"/>
          <w:sz w:val="32"/>
          <w:szCs w:val="32"/>
        </w:rPr>
        <w:t>，并建档备案。同时在网上公布本地已备案的废铅蓄电池收集企业及网点，让民众及</w:t>
      </w:r>
      <w:r>
        <w:rPr>
          <w:rFonts w:hint="eastAsia" w:ascii="仿宋" w:hAnsi="仿宋" w:eastAsia="仿宋" w:cs="仿宋"/>
          <w:sz w:val="32"/>
          <w:szCs w:val="32"/>
          <w:lang w:eastAsia="zh-CN"/>
        </w:rPr>
        <w:t>废铅蓄电池产生</w:t>
      </w:r>
      <w:r>
        <w:rPr>
          <w:rFonts w:hint="eastAsia" w:ascii="仿宋" w:hAnsi="仿宋" w:eastAsia="仿宋" w:cs="仿宋"/>
          <w:sz w:val="32"/>
          <w:szCs w:val="32"/>
        </w:rPr>
        <w:t>企业及时获知。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（二）加强执法，严厉打击非法回收和拆解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加强地方环保部门的监管、执法力度。严格监管试点企业，定期抽查，对未按政策执行，造成环境污染的企业，追究其环境保护责任，并取消其</w:t>
      </w:r>
      <w:r>
        <w:rPr>
          <w:rFonts w:hint="eastAsia" w:ascii="仿宋" w:hAnsi="仿宋" w:eastAsia="仿宋" w:cs="仿宋"/>
          <w:sz w:val="32"/>
          <w:szCs w:val="32"/>
          <w:lang w:eastAsia="zh-CN"/>
        </w:rPr>
        <w:t>试点</w:t>
      </w:r>
      <w:r>
        <w:rPr>
          <w:rFonts w:hint="eastAsia" w:ascii="仿宋" w:hAnsi="仿宋" w:eastAsia="仿宋" w:cs="仿宋"/>
          <w:sz w:val="32"/>
          <w:szCs w:val="32"/>
        </w:rPr>
        <w:t>资格。</w:t>
      </w:r>
      <w:r>
        <w:rPr>
          <w:rFonts w:hint="eastAsia" w:ascii="仿宋" w:hAnsi="仿宋" w:eastAsia="仿宋" w:cs="仿宋"/>
          <w:sz w:val="32"/>
          <w:szCs w:val="32"/>
          <w:lang w:eastAsia="zh-CN"/>
        </w:rPr>
        <w:t>同时</w:t>
      </w:r>
      <w:r>
        <w:rPr>
          <w:rFonts w:hint="eastAsia" w:ascii="仿宋_GB2312" w:hAnsi="仿宋_GB2312" w:eastAsia="仿宋_GB2312" w:cs="仿宋_GB2312"/>
          <w:sz w:val="32"/>
          <w:szCs w:val="32"/>
        </w:rPr>
        <w:t>按照原青海省环境保护厅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青海省公安厅等部门印发的《关于开展非特定行业废铅蓄电池 废矿物油及含矿物油废物等危险废物非法收集处置联合专项行动的通知》要求，在全省范围内联合公安、交通运输等部门对铅蓄电池</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，收集、存贮、运输及处置单位开展联合执法整治工作，打击废铅酸蓄电池、非法经营行为，取缔关停废铅酸蓄电池法处置场所。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（三）组织培训，提高收集企业管理水平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620" w:firstLineChars="194"/>
        <w:textAlignment w:val="auto"/>
        <w:rPr>
          <w:rFonts w:hint="eastAsia" w:ascii="仿宋" w:hAnsi="仿宋" w:eastAsia="仿宋" w:cs="仿宋"/>
          <w:sz w:val="32"/>
          <w:szCs w:val="32"/>
        </w:rPr>
      </w:pPr>
      <w:r>
        <w:rPr>
          <w:rFonts w:hint="eastAsia" w:ascii="仿宋" w:hAnsi="仿宋" w:eastAsia="仿宋" w:cs="仿宋"/>
          <w:sz w:val="32"/>
          <w:szCs w:val="32"/>
        </w:rPr>
        <w:t>指导试点企业建立废铅蓄电池管理台账，落实相关人员责任分工，完善废铅蓄电池贮存设施，规范废铅蓄电池利用处置流向，促进试点企业按照要求进行定期自查及整改，不断提升企业综合管理水平。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752" w:firstLineChars="235"/>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（四）建立废铅蓄电池收集运移信息管理平台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620" w:firstLineChars="194"/>
        <w:textAlignment w:val="auto"/>
        <w:rPr>
          <w:rFonts w:hint="eastAsia" w:ascii="仿宋" w:hAnsi="仿宋" w:eastAsia="仿宋" w:cs="仿宋"/>
          <w:sz w:val="32"/>
          <w:szCs w:val="32"/>
        </w:rPr>
      </w:pPr>
      <w:r>
        <w:rPr>
          <w:rFonts w:hint="eastAsia" w:ascii="仿宋" w:hAnsi="仿宋" w:eastAsia="仿宋" w:cs="仿宋"/>
          <w:sz w:val="32"/>
          <w:szCs w:val="32"/>
          <w:lang w:eastAsia="zh-CN"/>
        </w:rPr>
        <w:t>在青海省固体废物管理信息系统的基础上</w:t>
      </w:r>
      <w:r>
        <w:rPr>
          <w:rFonts w:hint="eastAsia" w:ascii="仿宋" w:hAnsi="仿宋" w:eastAsia="仿宋" w:cs="仿宋"/>
          <w:sz w:val="32"/>
          <w:szCs w:val="32"/>
        </w:rPr>
        <w:t xml:space="preserve">建立废铅蓄电池收集转移信息管理平台，将废铅蓄电池收集转移试点企业纳入平台进行管理。实现对已收集废铅蓄电池的流向进行实时查询跟踪，动态统计废铅蓄电池收集运移数量，同时对全省各试点企业的状态进行动态监控。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atLeast"/>
        <w:ind w:right="0" w:rightChars="0" w:firstLine="640"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val="0"/>
          <w:bCs w:val="0"/>
          <w:sz w:val="32"/>
          <w:szCs w:val="32"/>
          <w:lang w:val="en-US" w:eastAsia="zh-CN"/>
        </w:rPr>
        <w:t>（五）扩大宣传力度，造就良好社会氛围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atLeast"/>
        <w:ind w:left="0" w:leftChars="0" w:right="0" w:rightChars="0" w:firstLine="620" w:firstLineChars="194"/>
        <w:textAlignment w:val="auto"/>
        <w:rPr>
          <w:rFonts w:hint="eastAsia" w:ascii="仿宋" w:hAnsi="仿宋" w:eastAsia="仿宋" w:cs="仿宋"/>
          <w:sz w:val="32"/>
          <w:szCs w:val="32"/>
        </w:rPr>
      </w:pPr>
      <w:r>
        <w:rPr>
          <w:rFonts w:hint="eastAsia" w:ascii="仿宋" w:hAnsi="仿宋" w:eastAsia="仿宋" w:cs="仿宋"/>
          <w:sz w:val="32"/>
          <w:szCs w:val="32"/>
        </w:rPr>
        <w:t>加强对公众宣传教育力度，提高全民的环保意识。充分利用广播、电视、报刊、互联网等现代媒体，充分利用试点企业收集、运输车辆等车体广告、临时贮存点悬挂横幅、发放宣传资料等途径，采取多种方式广泛宣传宣传废铅蓄电池的危害，公开试点企业收集方式及收集网点的分布情况，引起全社会对废铅蓄电池回收利用的重视，使全民自觉地抵制非法收集处置废铅蓄电池的行为，主动参与到废铅蓄电池的收集行动中。</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bookmarkStart w:id="3" w:name="_Toc465928086"/>
      <w:r>
        <w:rPr>
          <w:rFonts w:hint="eastAsia" w:ascii="黑体" w:hAnsi="黑体" w:eastAsia="黑体" w:cs="黑体"/>
          <w:b w:val="0"/>
          <w:bCs w:val="0"/>
          <w:sz w:val="32"/>
          <w:szCs w:val="32"/>
          <w:lang w:val="en-US" w:eastAsia="zh-CN"/>
        </w:rPr>
        <w:t>八、职责分工</w:t>
      </w:r>
      <w:bookmarkEnd w:id="3"/>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青海省生态环境厅负责对试点单位和废铅蓄电池收集经营许可证单位的环境监管，督促落实各项管理制度；严厉打击废铅蓄电池环境违法行为，将非法转移、倒卖、利用处置废铅蓄电池的违法企业事业单位和其他生产经营者信息纳入生态环境领域违法失信名单，实行公开曝光，涉嫌犯罪的，移交司法机关。</w:t>
      </w:r>
    </w:p>
    <w:p>
      <w:pPr>
        <w:pStyle w:val="11"/>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80" w:lineRule="atLeast"/>
        <w:ind w:left="0" w:leftChars="0" w:right="0" w:rightChars="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青海省交通运输厅要依法加强危险货物道路运输企业的监管，指导其采取保障运输安全的措施并遵守危险货物运输管理的有关规定，依法打击废铅蓄电池运输违法违规行为。</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582" w:firstLineChars="194"/>
        <w:textAlignment w:val="auto"/>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firstLine="582" w:firstLineChars="194"/>
        <w:textAlignment w:val="auto"/>
        <w:rPr>
          <w:rFonts w:ascii="仿宋_GB2312" w:eastAsia="仿宋_GB2312"/>
          <w:sz w:val="30"/>
          <w:szCs w:val="30"/>
        </w:rPr>
      </w:pPr>
    </w:p>
    <w:p>
      <w:pPr>
        <w:ind w:firstLine="582" w:firstLineChars="194"/>
        <w:rPr>
          <w:rFonts w:ascii="仿宋_GB2312" w:eastAsia="仿宋_GB2312"/>
          <w:sz w:val="30"/>
          <w:szCs w:val="30"/>
        </w:rPr>
      </w:pPr>
    </w:p>
    <w:p>
      <w:pPr>
        <w:widowControl/>
        <w:jc w:val="left"/>
        <w:rPr>
          <w:rFonts w:ascii="仿宋_GB2312" w:eastAsia="仿宋_GB2312"/>
          <w:sz w:val="30"/>
          <w:szCs w:val="30"/>
        </w:rPr>
      </w:pPr>
      <w:r>
        <w:rPr>
          <w:rFonts w:ascii="仿宋_GB2312" w:eastAsia="仿宋_GB2312"/>
          <w:sz w:val="30"/>
          <w:szCs w:val="30"/>
        </w:rPr>
        <w:br w:type="page"/>
      </w:r>
    </w:p>
    <w:p>
      <w:pPr>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1</w:t>
      </w:r>
    </w:p>
    <w:p>
      <w:pPr>
        <w:jc w:val="center"/>
        <w:rPr>
          <w:rFonts w:hint="eastAsia" w:ascii="华文中宋" w:hAnsi="华文中宋" w:eastAsia="华文中宋" w:cs="华文中宋"/>
          <w:b w:val="0"/>
          <w:bCs w:val="0"/>
          <w:sz w:val="32"/>
          <w:szCs w:val="32"/>
          <w:lang w:val="en-US" w:eastAsia="zh-CN"/>
        </w:rPr>
      </w:pPr>
      <w:r>
        <w:rPr>
          <w:rFonts w:hint="eastAsia" w:ascii="华文中宋" w:hAnsi="华文中宋" w:eastAsia="华文中宋" w:cs="华文中宋"/>
          <w:b w:val="0"/>
          <w:bCs w:val="0"/>
          <w:sz w:val="32"/>
          <w:szCs w:val="32"/>
          <w:lang w:val="en-US" w:eastAsia="zh-CN"/>
        </w:rPr>
        <w:t>青海省废铅蓄电池收集和转移台账</w:t>
      </w:r>
    </w:p>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表1  废铅蓄电池收集和转移台账记录表</w:t>
      </w:r>
    </w:p>
    <w:p>
      <w:pPr>
        <w:jc w:val="center"/>
        <w:rPr>
          <w:rFonts w:hint="eastAsia" w:ascii="仿宋" w:hAnsi="仿宋" w:eastAsia="仿宋" w:cs="仿宋"/>
          <w:b/>
          <w:bCs/>
          <w:sz w:val="28"/>
          <w:szCs w:val="28"/>
          <w:lang w:val="en-US" w:eastAsia="zh-CN"/>
        </w:rPr>
      </w:pPr>
    </w:p>
    <w:p>
      <w:pPr>
        <w:ind w:firstLine="240" w:firstLineChars="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单位名称：（公章）</w:t>
      </w:r>
    </w:p>
    <w:tbl>
      <w:tblPr>
        <w:tblStyle w:val="17"/>
        <w:tblW w:w="8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963"/>
        <w:gridCol w:w="749"/>
        <w:gridCol w:w="870"/>
        <w:gridCol w:w="1021"/>
        <w:gridCol w:w="790"/>
        <w:gridCol w:w="854"/>
        <w:gridCol w:w="1028"/>
        <w:gridCol w:w="751"/>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43"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日期</w:t>
            </w:r>
          </w:p>
        </w:tc>
        <w:tc>
          <w:tcPr>
            <w:tcW w:w="3603" w:type="dxa"/>
            <w:gridSpan w:val="4"/>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接收情况</w:t>
            </w:r>
          </w:p>
        </w:tc>
        <w:tc>
          <w:tcPr>
            <w:tcW w:w="2672" w:type="dxa"/>
            <w:gridSpan w:val="3"/>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转移情况</w:t>
            </w:r>
          </w:p>
        </w:tc>
        <w:tc>
          <w:tcPr>
            <w:tcW w:w="1742" w:type="dxa"/>
            <w:gridSpan w:val="2"/>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库存情况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743" w:type="dxa"/>
            <w:vMerge w:val="continue"/>
            <w:vAlign w:val="center"/>
          </w:tcPr>
          <w:p>
            <w:pPr>
              <w:jc w:val="center"/>
              <w:rPr>
                <w:rFonts w:hint="eastAsia" w:ascii="仿宋" w:hAnsi="仿宋" w:eastAsia="仿宋" w:cs="仿宋"/>
                <w:sz w:val="21"/>
                <w:szCs w:val="21"/>
                <w:vertAlign w:val="baseline"/>
                <w:lang w:val="en-US" w:eastAsia="zh-CN"/>
              </w:rPr>
            </w:pPr>
          </w:p>
        </w:tc>
        <w:tc>
          <w:tcPr>
            <w:tcW w:w="963"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来源</w:t>
            </w:r>
          </w:p>
        </w:tc>
        <w:tc>
          <w:tcPr>
            <w:tcW w:w="749"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型号</w:t>
            </w:r>
          </w:p>
        </w:tc>
        <w:tc>
          <w:tcPr>
            <w:tcW w:w="87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数量（只）</w:t>
            </w:r>
          </w:p>
        </w:tc>
        <w:tc>
          <w:tcPr>
            <w:tcW w:w="1021"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重量</w:t>
            </w: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（千克）</w:t>
            </w:r>
          </w:p>
        </w:tc>
        <w:tc>
          <w:tcPr>
            <w:tcW w:w="79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接受单位</w:t>
            </w:r>
          </w:p>
        </w:tc>
        <w:tc>
          <w:tcPr>
            <w:tcW w:w="854"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数量（只）</w:t>
            </w:r>
          </w:p>
        </w:tc>
        <w:tc>
          <w:tcPr>
            <w:tcW w:w="1028"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重量</w:t>
            </w: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（千克）</w:t>
            </w:r>
          </w:p>
        </w:tc>
        <w:tc>
          <w:tcPr>
            <w:tcW w:w="751"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数量（只）</w:t>
            </w:r>
          </w:p>
        </w:tc>
        <w:tc>
          <w:tcPr>
            <w:tcW w:w="991"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重量</w:t>
            </w:r>
          </w:p>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43" w:type="dxa"/>
            <w:vAlign w:val="center"/>
          </w:tcPr>
          <w:p>
            <w:pPr>
              <w:jc w:val="center"/>
              <w:rPr>
                <w:rFonts w:hint="eastAsia" w:ascii="仿宋" w:hAnsi="仿宋" w:eastAsia="仿宋" w:cs="仿宋"/>
                <w:sz w:val="21"/>
                <w:szCs w:val="21"/>
                <w:vertAlign w:val="baseline"/>
                <w:lang w:val="en-US" w:eastAsia="zh-CN"/>
              </w:rPr>
            </w:pPr>
          </w:p>
        </w:tc>
        <w:tc>
          <w:tcPr>
            <w:tcW w:w="963" w:type="dxa"/>
            <w:vAlign w:val="center"/>
          </w:tcPr>
          <w:p>
            <w:pPr>
              <w:jc w:val="center"/>
              <w:rPr>
                <w:rFonts w:hint="eastAsia" w:ascii="仿宋" w:hAnsi="仿宋" w:eastAsia="仿宋" w:cs="仿宋"/>
                <w:sz w:val="21"/>
                <w:szCs w:val="21"/>
                <w:vertAlign w:val="baseline"/>
                <w:lang w:val="en-US" w:eastAsia="zh-CN"/>
              </w:rPr>
            </w:pPr>
          </w:p>
        </w:tc>
        <w:tc>
          <w:tcPr>
            <w:tcW w:w="749" w:type="dxa"/>
            <w:vAlign w:val="center"/>
          </w:tcPr>
          <w:p>
            <w:pPr>
              <w:jc w:val="center"/>
              <w:rPr>
                <w:rFonts w:hint="eastAsia" w:ascii="仿宋" w:hAnsi="仿宋" w:eastAsia="仿宋" w:cs="仿宋"/>
                <w:sz w:val="21"/>
                <w:szCs w:val="21"/>
                <w:vertAlign w:val="baseline"/>
                <w:lang w:val="en-US" w:eastAsia="zh-CN"/>
              </w:rPr>
            </w:pPr>
          </w:p>
        </w:tc>
        <w:tc>
          <w:tcPr>
            <w:tcW w:w="870" w:type="dxa"/>
            <w:vAlign w:val="center"/>
          </w:tcPr>
          <w:p>
            <w:pPr>
              <w:jc w:val="center"/>
              <w:rPr>
                <w:rFonts w:hint="eastAsia" w:ascii="仿宋" w:hAnsi="仿宋" w:eastAsia="仿宋" w:cs="仿宋"/>
                <w:sz w:val="21"/>
                <w:szCs w:val="21"/>
                <w:vertAlign w:val="baseline"/>
                <w:lang w:val="en-US" w:eastAsia="zh-CN"/>
              </w:rPr>
            </w:pPr>
          </w:p>
        </w:tc>
        <w:tc>
          <w:tcPr>
            <w:tcW w:w="1021" w:type="dxa"/>
            <w:vAlign w:val="center"/>
          </w:tcPr>
          <w:p>
            <w:pPr>
              <w:jc w:val="center"/>
              <w:rPr>
                <w:rFonts w:hint="eastAsia" w:ascii="仿宋" w:hAnsi="仿宋" w:eastAsia="仿宋" w:cs="仿宋"/>
                <w:sz w:val="21"/>
                <w:szCs w:val="21"/>
                <w:vertAlign w:val="baseline"/>
                <w:lang w:val="en-US" w:eastAsia="zh-CN"/>
              </w:rPr>
            </w:pPr>
          </w:p>
        </w:tc>
        <w:tc>
          <w:tcPr>
            <w:tcW w:w="790" w:type="dxa"/>
            <w:vAlign w:val="center"/>
          </w:tcPr>
          <w:p>
            <w:pPr>
              <w:jc w:val="center"/>
              <w:rPr>
                <w:rFonts w:hint="eastAsia" w:ascii="仿宋" w:hAnsi="仿宋" w:eastAsia="仿宋" w:cs="仿宋"/>
                <w:sz w:val="21"/>
                <w:szCs w:val="21"/>
                <w:vertAlign w:val="baseline"/>
                <w:lang w:val="en-US" w:eastAsia="zh-CN"/>
              </w:rPr>
            </w:pPr>
          </w:p>
        </w:tc>
        <w:tc>
          <w:tcPr>
            <w:tcW w:w="854" w:type="dxa"/>
            <w:vAlign w:val="center"/>
          </w:tcPr>
          <w:p>
            <w:pPr>
              <w:jc w:val="center"/>
              <w:rPr>
                <w:rFonts w:hint="eastAsia" w:ascii="仿宋" w:hAnsi="仿宋" w:eastAsia="仿宋" w:cs="仿宋"/>
                <w:sz w:val="21"/>
                <w:szCs w:val="21"/>
                <w:vertAlign w:val="baseline"/>
                <w:lang w:val="en-US" w:eastAsia="zh-CN"/>
              </w:rPr>
            </w:pPr>
          </w:p>
        </w:tc>
        <w:tc>
          <w:tcPr>
            <w:tcW w:w="1028" w:type="dxa"/>
            <w:vAlign w:val="center"/>
          </w:tcPr>
          <w:p>
            <w:pPr>
              <w:jc w:val="center"/>
              <w:rPr>
                <w:rFonts w:hint="eastAsia" w:ascii="仿宋" w:hAnsi="仿宋" w:eastAsia="仿宋" w:cs="仿宋"/>
                <w:sz w:val="21"/>
                <w:szCs w:val="21"/>
                <w:vertAlign w:val="baseline"/>
                <w:lang w:val="en-US" w:eastAsia="zh-CN"/>
              </w:rPr>
            </w:pPr>
          </w:p>
        </w:tc>
        <w:tc>
          <w:tcPr>
            <w:tcW w:w="751" w:type="dxa"/>
            <w:vAlign w:val="center"/>
          </w:tcPr>
          <w:p>
            <w:pPr>
              <w:jc w:val="center"/>
              <w:rPr>
                <w:rFonts w:hint="eastAsia" w:ascii="仿宋" w:hAnsi="仿宋" w:eastAsia="仿宋" w:cs="仿宋"/>
                <w:sz w:val="21"/>
                <w:szCs w:val="21"/>
                <w:vertAlign w:val="baseline"/>
                <w:lang w:val="en-US" w:eastAsia="zh-CN"/>
              </w:rPr>
            </w:pPr>
          </w:p>
        </w:tc>
        <w:tc>
          <w:tcPr>
            <w:tcW w:w="991"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43" w:type="dxa"/>
            <w:vAlign w:val="center"/>
          </w:tcPr>
          <w:p>
            <w:pPr>
              <w:jc w:val="center"/>
              <w:rPr>
                <w:rFonts w:hint="eastAsia" w:ascii="仿宋" w:hAnsi="仿宋" w:eastAsia="仿宋" w:cs="仿宋"/>
                <w:sz w:val="21"/>
                <w:szCs w:val="21"/>
                <w:vertAlign w:val="baseline"/>
                <w:lang w:val="en-US" w:eastAsia="zh-CN"/>
              </w:rPr>
            </w:pPr>
          </w:p>
        </w:tc>
        <w:tc>
          <w:tcPr>
            <w:tcW w:w="963" w:type="dxa"/>
            <w:vAlign w:val="center"/>
          </w:tcPr>
          <w:p>
            <w:pPr>
              <w:jc w:val="center"/>
              <w:rPr>
                <w:rFonts w:hint="eastAsia" w:ascii="仿宋" w:hAnsi="仿宋" w:eastAsia="仿宋" w:cs="仿宋"/>
                <w:sz w:val="21"/>
                <w:szCs w:val="21"/>
                <w:vertAlign w:val="baseline"/>
                <w:lang w:val="en-US" w:eastAsia="zh-CN"/>
              </w:rPr>
            </w:pPr>
          </w:p>
        </w:tc>
        <w:tc>
          <w:tcPr>
            <w:tcW w:w="749" w:type="dxa"/>
            <w:vAlign w:val="center"/>
          </w:tcPr>
          <w:p>
            <w:pPr>
              <w:jc w:val="center"/>
              <w:rPr>
                <w:rFonts w:hint="eastAsia" w:ascii="仿宋" w:hAnsi="仿宋" w:eastAsia="仿宋" w:cs="仿宋"/>
                <w:sz w:val="21"/>
                <w:szCs w:val="21"/>
                <w:vertAlign w:val="baseline"/>
                <w:lang w:val="en-US" w:eastAsia="zh-CN"/>
              </w:rPr>
            </w:pPr>
          </w:p>
        </w:tc>
        <w:tc>
          <w:tcPr>
            <w:tcW w:w="870" w:type="dxa"/>
            <w:vAlign w:val="center"/>
          </w:tcPr>
          <w:p>
            <w:pPr>
              <w:jc w:val="center"/>
              <w:rPr>
                <w:rFonts w:hint="eastAsia" w:ascii="仿宋" w:hAnsi="仿宋" w:eastAsia="仿宋" w:cs="仿宋"/>
                <w:sz w:val="21"/>
                <w:szCs w:val="21"/>
                <w:vertAlign w:val="baseline"/>
                <w:lang w:val="en-US" w:eastAsia="zh-CN"/>
              </w:rPr>
            </w:pPr>
          </w:p>
        </w:tc>
        <w:tc>
          <w:tcPr>
            <w:tcW w:w="1021" w:type="dxa"/>
            <w:vAlign w:val="center"/>
          </w:tcPr>
          <w:p>
            <w:pPr>
              <w:jc w:val="center"/>
              <w:rPr>
                <w:rFonts w:hint="eastAsia" w:ascii="仿宋" w:hAnsi="仿宋" w:eastAsia="仿宋" w:cs="仿宋"/>
                <w:sz w:val="21"/>
                <w:szCs w:val="21"/>
                <w:vertAlign w:val="baseline"/>
                <w:lang w:val="en-US" w:eastAsia="zh-CN"/>
              </w:rPr>
            </w:pPr>
          </w:p>
        </w:tc>
        <w:tc>
          <w:tcPr>
            <w:tcW w:w="790" w:type="dxa"/>
            <w:vAlign w:val="center"/>
          </w:tcPr>
          <w:p>
            <w:pPr>
              <w:jc w:val="center"/>
              <w:rPr>
                <w:rFonts w:hint="eastAsia" w:ascii="仿宋" w:hAnsi="仿宋" w:eastAsia="仿宋" w:cs="仿宋"/>
                <w:sz w:val="21"/>
                <w:szCs w:val="21"/>
                <w:vertAlign w:val="baseline"/>
                <w:lang w:val="en-US" w:eastAsia="zh-CN"/>
              </w:rPr>
            </w:pPr>
          </w:p>
        </w:tc>
        <w:tc>
          <w:tcPr>
            <w:tcW w:w="854" w:type="dxa"/>
            <w:vAlign w:val="center"/>
          </w:tcPr>
          <w:p>
            <w:pPr>
              <w:jc w:val="center"/>
              <w:rPr>
                <w:rFonts w:hint="eastAsia" w:ascii="仿宋" w:hAnsi="仿宋" w:eastAsia="仿宋" w:cs="仿宋"/>
                <w:sz w:val="21"/>
                <w:szCs w:val="21"/>
                <w:vertAlign w:val="baseline"/>
                <w:lang w:val="en-US" w:eastAsia="zh-CN"/>
              </w:rPr>
            </w:pPr>
          </w:p>
        </w:tc>
        <w:tc>
          <w:tcPr>
            <w:tcW w:w="1028" w:type="dxa"/>
            <w:vAlign w:val="center"/>
          </w:tcPr>
          <w:p>
            <w:pPr>
              <w:jc w:val="center"/>
              <w:rPr>
                <w:rFonts w:hint="eastAsia" w:ascii="仿宋" w:hAnsi="仿宋" w:eastAsia="仿宋" w:cs="仿宋"/>
                <w:sz w:val="21"/>
                <w:szCs w:val="21"/>
                <w:vertAlign w:val="baseline"/>
                <w:lang w:val="en-US" w:eastAsia="zh-CN"/>
              </w:rPr>
            </w:pPr>
          </w:p>
        </w:tc>
        <w:tc>
          <w:tcPr>
            <w:tcW w:w="751" w:type="dxa"/>
            <w:vAlign w:val="center"/>
          </w:tcPr>
          <w:p>
            <w:pPr>
              <w:jc w:val="center"/>
              <w:rPr>
                <w:rFonts w:hint="eastAsia" w:ascii="仿宋" w:hAnsi="仿宋" w:eastAsia="仿宋" w:cs="仿宋"/>
                <w:sz w:val="21"/>
                <w:szCs w:val="21"/>
                <w:vertAlign w:val="baseline"/>
                <w:lang w:val="en-US" w:eastAsia="zh-CN"/>
              </w:rPr>
            </w:pPr>
          </w:p>
        </w:tc>
        <w:tc>
          <w:tcPr>
            <w:tcW w:w="991"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43" w:type="dxa"/>
            <w:vAlign w:val="center"/>
          </w:tcPr>
          <w:p>
            <w:pPr>
              <w:jc w:val="center"/>
              <w:rPr>
                <w:rFonts w:hint="eastAsia" w:ascii="仿宋" w:hAnsi="仿宋" w:eastAsia="仿宋" w:cs="仿宋"/>
                <w:sz w:val="21"/>
                <w:szCs w:val="21"/>
                <w:vertAlign w:val="baseline"/>
                <w:lang w:val="en-US" w:eastAsia="zh-CN"/>
              </w:rPr>
            </w:pPr>
          </w:p>
        </w:tc>
        <w:tc>
          <w:tcPr>
            <w:tcW w:w="963" w:type="dxa"/>
            <w:vAlign w:val="center"/>
          </w:tcPr>
          <w:p>
            <w:pPr>
              <w:jc w:val="center"/>
              <w:rPr>
                <w:rFonts w:hint="eastAsia" w:ascii="仿宋" w:hAnsi="仿宋" w:eastAsia="仿宋" w:cs="仿宋"/>
                <w:sz w:val="21"/>
                <w:szCs w:val="21"/>
                <w:vertAlign w:val="baseline"/>
                <w:lang w:val="en-US" w:eastAsia="zh-CN"/>
              </w:rPr>
            </w:pPr>
          </w:p>
        </w:tc>
        <w:tc>
          <w:tcPr>
            <w:tcW w:w="749" w:type="dxa"/>
            <w:vAlign w:val="center"/>
          </w:tcPr>
          <w:p>
            <w:pPr>
              <w:jc w:val="center"/>
              <w:rPr>
                <w:rFonts w:hint="eastAsia" w:ascii="仿宋" w:hAnsi="仿宋" w:eastAsia="仿宋" w:cs="仿宋"/>
                <w:sz w:val="21"/>
                <w:szCs w:val="21"/>
                <w:vertAlign w:val="baseline"/>
                <w:lang w:val="en-US" w:eastAsia="zh-CN"/>
              </w:rPr>
            </w:pPr>
          </w:p>
        </w:tc>
        <w:tc>
          <w:tcPr>
            <w:tcW w:w="870" w:type="dxa"/>
            <w:vAlign w:val="center"/>
          </w:tcPr>
          <w:p>
            <w:pPr>
              <w:jc w:val="center"/>
              <w:rPr>
                <w:rFonts w:hint="eastAsia" w:ascii="仿宋" w:hAnsi="仿宋" w:eastAsia="仿宋" w:cs="仿宋"/>
                <w:sz w:val="21"/>
                <w:szCs w:val="21"/>
                <w:vertAlign w:val="baseline"/>
                <w:lang w:val="en-US" w:eastAsia="zh-CN"/>
              </w:rPr>
            </w:pPr>
          </w:p>
        </w:tc>
        <w:tc>
          <w:tcPr>
            <w:tcW w:w="1021" w:type="dxa"/>
            <w:vAlign w:val="center"/>
          </w:tcPr>
          <w:p>
            <w:pPr>
              <w:jc w:val="center"/>
              <w:rPr>
                <w:rFonts w:hint="eastAsia" w:ascii="仿宋" w:hAnsi="仿宋" w:eastAsia="仿宋" w:cs="仿宋"/>
                <w:sz w:val="21"/>
                <w:szCs w:val="21"/>
                <w:vertAlign w:val="baseline"/>
                <w:lang w:val="en-US" w:eastAsia="zh-CN"/>
              </w:rPr>
            </w:pPr>
          </w:p>
        </w:tc>
        <w:tc>
          <w:tcPr>
            <w:tcW w:w="790" w:type="dxa"/>
            <w:vAlign w:val="center"/>
          </w:tcPr>
          <w:p>
            <w:pPr>
              <w:jc w:val="center"/>
              <w:rPr>
                <w:rFonts w:hint="eastAsia" w:ascii="仿宋" w:hAnsi="仿宋" w:eastAsia="仿宋" w:cs="仿宋"/>
                <w:sz w:val="21"/>
                <w:szCs w:val="21"/>
                <w:vertAlign w:val="baseline"/>
                <w:lang w:val="en-US" w:eastAsia="zh-CN"/>
              </w:rPr>
            </w:pPr>
          </w:p>
        </w:tc>
        <w:tc>
          <w:tcPr>
            <w:tcW w:w="854" w:type="dxa"/>
            <w:vAlign w:val="center"/>
          </w:tcPr>
          <w:p>
            <w:pPr>
              <w:jc w:val="center"/>
              <w:rPr>
                <w:rFonts w:hint="eastAsia" w:ascii="仿宋" w:hAnsi="仿宋" w:eastAsia="仿宋" w:cs="仿宋"/>
                <w:sz w:val="21"/>
                <w:szCs w:val="21"/>
                <w:vertAlign w:val="baseline"/>
                <w:lang w:val="en-US" w:eastAsia="zh-CN"/>
              </w:rPr>
            </w:pPr>
          </w:p>
        </w:tc>
        <w:tc>
          <w:tcPr>
            <w:tcW w:w="1028" w:type="dxa"/>
            <w:vAlign w:val="center"/>
          </w:tcPr>
          <w:p>
            <w:pPr>
              <w:jc w:val="center"/>
              <w:rPr>
                <w:rFonts w:hint="eastAsia" w:ascii="仿宋" w:hAnsi="仿宋" w:eastAsia="仿宋" w:cs="仿宋"/>
                <w:sz w:val="21"/>
                <w:szCs w:val="21"/>
                <w:vertAlign w:val="baseline"/>
                <w:lang w:val="en-US" w:eastAsia="zh-CN"/>
              </w:rPr>
            </w:pPr>
          </w:p>
        </w:tc>
        <w:tc>
          <w:tcPr>
            <w:tcW w:w="751" w:type="dxa"/>
            <w:vAlign w:val="center"/>
          </w:tcPr>
          <w:p>
            <w:pPr>
              <w:jc w:val="center"/>
              <w:rPr>
                <w:rFonts w:hint="eastAsia" w:ascii="仿宋" w:hAnsi="仿宋" w:eastAsia="仿宋" w:cs="仿宋"/>
                <w:sz w:val="21"/>
                <w:szCs w:val="21"/>
                <w:vertAlign w:val="baseline"/>
                <w:lang w:val="en-US" w:eastAsia="zh-CN"/>
              </w:rPr>
            </w:pPr>
          </w:p>
        </w:tc>
        <w:tc>
          <w:tcPr>
            <w:tcW w:w="991"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43" w:type="dxa"/>
            <w:vAlign w:val="center"/>
          </w:tcPr>
          <w:p>
            <w:pPr>
              <w:jc w:val="center"/>
              <w:rPr>
                <w:rFonts w:hint="eastAsia" w:ascii="仿宋" w:hAnsi="仿宋" w:eastAsia="仿宋" w:cs="仿宋"/>
                <w:sz w:val="21"/>
                <w:szCs w:val="21"/>
                <w:vertAlign w:val="baseline"/>
                <w:lang w:val="en-US" w:eastAsia="zh-CN"/>
              </w:rPr>
            </w:pPr>
          </w:p>
        </w:tc>
        <w:tc>
          <w:tcPr>
            <w:tcW w:w="963" w:type="dxa"/>
            <w:vAlign w:val="center"/>
          </w:tcPr>
          <w:p>
            <w:pPr>
              <w:jc w:val="center"/>
              <w:rPr>
                <w:rFonts w:hint="eastAsia" w:ascii="仿宋" w:hAnsi="仿宋" w:eastAsia="仿宋" w:cs="仿宋"/>
                <w:sz w:val="21"/>
                <w:szCs w:val="21"/>
                <w:vertAlign w:val="baseline"/>
                <w:lang w:val="en-US" w:eastAsia="zh-CN"/>
              </w:rPr>
            </w:pPr>
          </w:p>
        </w:tc>
        <w:tc>
          <w:tcPr>
            <w:tcW w:w="749" w:type="dxa"/>
            <w:vAlign w:val="center"/>
          </w:tcPr>
          <w:p>
            <w:pPr>
              <w:jc w:val="center"/>
              <w:rPr>
                <w:rFonts w:hint="eastAsia" w:ascii="仿宋" w:hAnsi="仿宋" w:eastAsia="仿宋" w:cs="仿宋"/>
                <w:sz w:val="21"/>
                <w:szCs w:val="21"/>
                <w:vertAlign w:val="baseline"/>
                <w:lang w:val="en-US" w:eastAsia="zh-CN"/>
              </w:rPr>
            </w:pPr>
          </w:p>
        </w:tc>
        <w:tc>
          <w:tcPr>
            <w:tcW w:w="870" w:type="dxa"/>
            <w:vAlign w:val="center"/>
          </w:tcPr>
          <w:p>
            <w:pPr>
              <w:jc w:val="center"/>
              <w:rPr>
                <w:rFonts w:hint="eastAsia" w:ascii="仿宋" w:hAnsi="仿宋" w:eastAsia="仿宋" w:cs="仿宋"/>
                <w:sz w:val="21"/>
                <w:szCs w:val="21"/>
                <w:vertAlign w:val="baseline"/>
                <w:lang w:val="en-US" w:eastAsia="zh-CN"/>
              </w:rPr>
            </w:pPr>
          </w:p>
        </w:tc>
        <w:tc>
          <w:tcPr>
            <w:tcW w:w="1021" w:type="dxa"/>
            <w:vAlign w:val="center"/>
          </w:tcPr>
          <w:p>
            <w:pPr>
              <w:jc w:val="center"/>
              <w:rPr>
                <w:rFonts w:hint="eastAsia" w:ascii="仿宋" w:hAnsi="仿宋" w:eastAsia="仿宋" w:cs="仿宋"/>
                <w:sz w:val="21"/>
                <w:szCs w:val="21"/>
                <w:vertAlign w:val="baseline"/>
                <w:lang w:val="en-US" w:eastAsia="zh-CN"/>
              </w:rPr>
            </w:pPr>
          </w:p>
        </w:tc>
        <w:tc>
          <w:tcPr>
            <w:tcW w:w="790" w:type="dxa"/>
            <w:vAlign w:val="center"/>
          </w:tcPr>
          <w:p>
            <w:pPr>
              <w:jc w:val="center"/>
              <w:rPr>
                <w:rFonts w:hint="eastAsia" w:ascii="仿宋" w:hAnsi="仿宋" w:eastAsia="仿宋" w:cs="仿宋"/>
                <w:sz w:val="21"/>
                <w:szCs w:val="21"/>
                <w:vertAlign w:val="baseline"/>
                <w:lang w:val="en-US" w:eastAsia="zh-CN"/>
              </w:rPr>
            </w:pPr>
          </w:p>
        </w:tc>
        <w:tc>
          <w:tcPr>
            <w:tcW w:w="854" w:type="dxa"/>
            <w:vAlign w:val="center"/>
          </w:tcPr>
          <w:p>
            <w:pPr>
              <w:jc w:val="center"/>
              <w:rPr>
                <w:rFonts w:hint="eastAsia" w:ascii="仿宋" w:hAnsi="仿宋" w:eastAsia="仿宋" w:cs="仿宋"/>
                <w:sz w:val="21"/>
                <w:szCs w:val="21"/>
                <w:vertAlign w:val="baseline"/>
                <w:lang w:val="en-US" w:eastAsia="zh-CN"/>
              </w:rPr>
            </w:pPr>
          </w:p>
        </w:tc>
        <w:tc>
          <w:tcPr>
            <w:tcW w:w="1028" w:type="dxa"/>
            <w:vAlign w:val="center"/>
          </w:tcPr>
          <w:p>
            <w:pPr>
              <w:jc w:val="center"/>
              <w:rPr>
                <w:rFonts w:hint="eastAsia" w:ascii="仿宋" w:hAnsi="仿宋" w:eastAsia="仿宋" w:cs="仿宋"/>
                <w:sz w:val="21"/>
                <w:szCs w:val="21"/>
                <w:vertAlign w:val="baseline"/>
                <w:lang w:val="en-US" w:eastAsia="zh-CN"/>
              </w:rPr>
            </w:pPr>
          </w:p>
        </w:tc>
        <w:tc>
          <w:tcPr>
            <w:tcW w:w="751" w:type="dxa"/>
            <w:vAlign w:val="center"/>
          </w:tcPr>
          <w:p>
            <w:pPr>
              <w:jc w:val="center"/>
              <w:rPr>
                <w:rFonts w:hint="eastAsia" w:ascii="仿宋" w:hAnsi="仿宋" w:eastAsia="仿宋" w:cs="仿宋"/>
                <w:sz w:val="21"/>
                <w:szCs w:val="21"/>
                <w:vertAlign w:val="baseline"/>
                <w:lang w:val="en-US" w:eastAsia="zh-CN"/>
              </w:rPr>
            </w:pPr>
          </w:p>
        </w:tc>
        <w:tc>
          <w:tcPr>
            <w:tcW w:w="991"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43" w:type="dxa"/>
            <w:vAlign w:val="center"/>
          </w:tcPr>
          <w:p>
            <w:pPr>
              <w:jc w:val="center"/>
              <w:rPr>
                <w:rFonts w:hint="eastAsia" w:ascii="仿宋" w:hAnsi="仿宋" w:eastAsia="仿宋" w:cs="仿宋"/>
                <w:sz w:val="21"/>
                <w:szCs w:val="21"/>
                <w:vertAlign w:val="baseline"/>
                <w:lang w:val="en-US" w:eastAsia="zh-CN"/>
              </w:rPr>
            </w:pPr>
          </w:p>
        </w:tc>
        <w:tc>
          <w:tcPr>
            <w:tcW w:w="963" w:type="dxa"/>
            <w:vAlign w:val="center"/>
          </w:tcPr>
          <w:p>
            <w:pPr>
              <w:jc w:val="center"/>
              <w:rPr>
                <w:rFonts w:hint="eastAsia" w:ascii="仿宋" w:hAnsi="仿宋" w:eastAsia="仿宋" w:cs="仿宋"/>
                <w:sz w:val="21"/>
                <w:szCs w:val="21"/>
                <w:vertAlign w:val="baseline"/>
                <w:lang w:val="en-US" w:eastAsia="zh-CN"/>
              </w:rPr>
            </w:pPr>
          </w:p>
        </w:tc>
        <w:tc>
          <w:tcPr>
            <w:tcW w:w="749" w:type="dxa"/>
            <w:vAlign w:val="center"/>
          </w:tcPr>
          <w:p>
            <w:pPr>
              <w:jc w:val="center"/>
              <w:rPr>
                <w:rFonts w:hint="eastAsia" w:ascii="仿宋" w:hAnsi="仿宋" w:eastAsia="仿宋" w:cs="仿宋"/>
                <w:sz w:val="21"/>
                <w:szCs w:val="21"/>
                <w:vertAlign w:val="baseline"/>
                <w:lang w:val="en-US" w:eastAsia="zh-CN"/>
              </w:rPr>
            </w:pPr>
          </w:p>
        </w:tc>
        <w:tc>
          <w:tcPr>
            <w:tcW w:w="870" w:type="dxa"/>
            <w:vAlign w:val="center"/>
          </w:tcPr>
          <w:p>
            <w:pPr>
              <w:jc w:val="center"/>
              <w:rPr>
                <w:rFonts w:hint="eastAsia" w:ascii="仿宋" w:hAnsi="仿宋" w:eastAsia="仿宋" w:cs="仿宋"/>
                <w:sz w:val="21"/>
                <w:szCs w:val="21"/>
                <w:vertAlign w:val="baseline"/>
                <w:lang w:val="en-US" w:eastAsia="zh-CN"/>
              </w:rPr>
            </w:pPr>
          </w:p>
        </w:tc>
        <w:tc>
          <w:tcPr>
            <w:tcW w:w="1021" w:type="dxa"/>
            <w:vAlign w:val="center"/>
          </w:tcPr>
          <w:p>
            <w:pPr>
              <w:jc w:val="center"/>
              <w:rPr>
                <w:rFonts w:hint="eastAsia" w:ascii="仿宋" w:hAnsi="仿宋" w:eastAsia="仿宋" w:cs="仿宋"/>
                <w:sz w:val="21"/>
                <w:szCs w:val="21"/>
                <w:vertAlign w:val="baseline"/>
                <w:lang w:val="en-US" w:eastAsia="zh-CN"/>
              </w:rPr>
            </w:pPr>
          </w:p>
        </w:tc>
        <w:tc>
          <w:tcPr>
            <w:tcW w:w="790" w:type="dxa"/>
            <w:vAlign w:val="center"/>
          </w:tcPr>
          <w:p>
            <w:pPr>
              <w:jc w:val="center"/>
              <w:rPr>
                <w:rFonts w:hint="eastAsia" w:ascii="仿宋" w:hAnsi="仿宋" w:eastAsia="仿宋" w:cs="仿宋"/>
                <w:sz w:val="21"/>
                <w:szCs w:val="21"/>
                <w:vertAlign w:val="baseline"/>
                <w:lang w:val="en-US" w:eastAsia="zh-CN"/>
              </w:rPr>
            </w:pPr>
          </w:p>
        </w:tc>
        <w:tc>
          <w:tcPr>
            <w:tcW w:w="854" w:type="dxa"/>
            <w:vAlign w:val="center"/>
          </w:tcPr>
          <w:p>
            <w:pPr>
              <w:jc w:val="center"/>
              <w:rPr>
                <w:rFonts w:hint="eastAsia" w:ascii="仿宋" w:hAnsi="仿宋" w:eastAsia="仿宋" w:cs="仿宋"/>
                <w:sz w:val="21"/>
                <w:szCs w:val="21"/>
                <w:vertAlign w:val="baseline"/>
                <w:lang w:val="en-US" w:eastAsia="zh-CN"/>
              </w:rPr>
            </w:pPr>
          </w:p>
        </w:tc>
        <w:tc>
          <w:tcPr>
            <w:tcW w:w="1028" w:type="dxa"/>
            <w:vAlign w:val="center"/>
          </w:tcPr>
          <w:p>
            <w:pPr>
              <w:jc w:val="center"/>
              <w:rPr>
                <w:rFonts w:hint="eastAsia" w:ascii="仿宋" w:hAnsi="仿宋" w:eastAsia="仿宋" w:cs="仿宋"/>
                <w:sz w:val="21"/>
                <w:szCs w:val="21"/>
                <w:vertAlign w:val="baseline"/>
                <w:lang w:val="en-US" w:eastAsia="zh-CN"/>
              </w:rPr>
            </w:pPr>
          </w:p>
        </w:tc>
        <w:tc>
          <w:tcPr>
            <w:tcW w:w="751" w:type="dxa"/>
            <w:vAlign w:val="center"/>
          </w:tcPr>
          <w:p>
            <w:pPr>
              <w:jc w:val="center"/>
              <w:rPr>
                <w:rFonts w:hint="eastAsia" w:ascii="仿宋" w:hAnsi="仿宋" w:eastAsia="仿宋" w:cs="仿宋"/>
                <w:sz w:val="21"/>
                <w:szCs w:val="21"/>
                <w:vertAlign w:val="baseline"/>
                <w:lang w:val="en-US" w:eastAsia="zh-CN"/>
              </w:rPr>
            </w:pPr>
          </w:p>
        </w:tc>
        <w:tc>
          <w:tcPr>
            <w:tcW w:w="991"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743" w:type="dxa"/>
            <w:vAlign w:val="center"/>
          </w:tcPr>
          <w:p>
            <w:pPr>
              <w:jc w:val="center"/>
              <w:rPr>
                <w:rFonts w:hint="eastAsia" w:ascii="仿宋" w:hAnsi="仿宋" w:eastAsia="仿宋" w:cs="仿宋"/>
                <w:sz w:val="21"/>
                <w:szCs w:val="21"/>
                <w:vertAlign w:val="baseline"/>
                <w:lang w:val="en-US" w:eastAsia="zh-CN"/>
              </w:rPr>
            </w:pPr>
          </w:p>
        </w:tc>
        <w:tc>
          <w:tcPr>
            <w:tcW w:w="963" w:type="dxa"/>
            <w:vAlign w:val="center"/>
          </w:tcPr>
          <w:p>
            <w:pPr>
              <w:jc w:val="center"/>
              <w:rPr>
                <w:rFonts w:hint="eastAsia" w:ascii="仿宋" w:hAnsi="仿宋" w:eastAsia="仿宋" w:cs="仿宋"/>
                <w:sz w:val="21"/>
                <w:szCs w:val="21"/>
                <w:vertAlign w:val="baseline"/>
                <w:lang w:val="en-US" w:eastAsia="zh-CN"/>
              </w:rPr>
            </w:pPr>
          </w:p>
        </w:tc>
        <w:tc>
          <w:tcPr>
            <w:tcW w:w="749" w:type="dxa"/>
            <w:vAlign w:val="center"/>
          </w:tcPr>
          <w:p>
            <w:pPr>
              <w:jc w:val="center"/>
              <w:rPr>
                <w:rFonts w:hint="eastAsia" w:ascii="仿宋" w:hAnsi="仿宋" w:eastAsia="仿宋" w:cs="仿宋"/>
                <w:sz w:val="21"/>
                <w:szCs w:val="21"/>
                <w:vertAlign w:val="baseline"/>
                <w:lang w:val="en-US" w:eastAsia="zh-CN"/>
              </w:rPr>
            </w:pPr>
          </w:p>
        </w:tc>
        <w:tc>
          <w:tcPr>
            <w:tcW w:w="870" w:type="dxa"/>
            <w:vAlign w:val="center"/>
          </w:tcPr>
          <w:p>
            <w:pPr>
              <w:jc w:val="center"/>
              <w:rPr>
                <w:rFonts w:hint="eastAsia" w:ascii="仿宋" w:hAnsi="仿宋" w:eastAsia="仿宋" w:cs="仿宋"/>
                <w:sz w:val="21"/>
                <w:szCs w:val="21"/>
                <w:vertAlign w:val="baseline"/>
                <w:lang w:val="en-US" w:eastAsia="zh-CN"/>
              </w:rPr>
            </w:pPr>
          </w:p>
        </w:tc>
        <w:tc>
          <w:tcPr>
            <w:tcW w:w="1021" w:type="dxa"/>
            <w:vAlign w:val="center"/>
          </w:tcPr>
          <w:p>
            <w:pPr>
              <w:jc w:val="center"/>
              <w:rPr>
                <w:rFonts w:hint="eastAsia" w:ascii="仿宋" w:hAnsi="仿宋" w:eastAsia="仿宋" w:cs="仿宋"/>
                <w:sz w:val="21"/>
                <w:szCs w:val="21"/>
                <w:vertAlign w:val="baseline"/>
                <w:lang w:val="en-US" w:eastAsia="zh-CN"/>
              </w:rPr>
            </w:pPr>
          </w:p>
        </w:tc>
        <w:tc>
          <w:tcPr>
            <w:tcW w:w="790" w:type="dxa"/>
            <w:vAlign w:val="center"/>
          </w:tcPr>
          <w:p>
            <w:pPr>
              <w:jc w:val="center"/>
              <w:rPr>
                <w:rFonts w:hint="eastAsia" w:ascii="仿宋" w:hAnsi="仿宋" w:eastAsia="仿宋" w:cs="仿宋"/>
                <w:sz w:val="21"/>
                <w:szCs w:val="21"/>
                <w:vertAlign w:val="baseline"/>
                <w:lang w:val="en-US" w:eastAsia="zh-CN"/>
              </w:rPr>
            </w:pPr>
          </w:p>
        </w:tc>
        <w:tc>
          <w:tcPr>
            <w:tcW w:w="854" w:type="dxa"/>
            <w:vAlign w:val="center"/>
          </w:tcPr>
          <w:p>
            <w:pPr>
              <w:jc w:val="center"/>
              <w:rPr>
                <w:rFonts w:hint="eastAsia" w:ascii="仿宋" w:hAnsi="仿宋" w:eastAsia="仿宋" w:cs="仿宋"/>
                <w:sz w:val="21"/>
                <w:szCs w:val="21"/>
                <w:vertAlign w:val="baseline"/>
                <w:lang w:val="en-US" w:eastAsia="zh-CN"/>
              </w:rPr>
            </w:pPr>
          </w:p>
        </w:tc>
        <w:tc>
          <w:tcPr>
            <w:tcW w:w="1028" w:type="dxa"/>
            <w:vAlign w:val="center"/>
          </w:tcPr>
          <w:p>
            <w:pPr>
              <w:jc w:val="center"/>
              <w:rPr>
                <w:rFonts w:hint="eastAsia" w:ascii="仿宋" w:hAnsi="仿宋" w:eastAsia="仿宋" w:cs="仿宋"/>
                <w:sz w:val="21"/>
                <w:szCs w:val="21"/>
                <w:vertAlign w:val="baseline"/>
                <w:lang w:val="en-US" w:eastAsia="zh-CN"/>
              </w:rPr>
            </w:pPr>
          </w:p>
        </w:tc>
        <w:tc>
          <w:tcPr>
            <w:tcW w:w="751" w:type="dxa"/>
            <w:vAlign w:val="center"/>
          </w:tcPr>
          <w:p>
            <w:pPr>
              <w:jc w:val="center"/>
              <w:rPr>
                <w:rFonts w:hint="eastAsia" w:ascii="仿宋" w:hAnsi="仿宋" w:eastAsia="仿宋" w:cs="仿宋"/>
                <w:sz w:val="21"/>
                <w:szCs w:val="21"/>
                <w:vertAlign w:val="baseline"/>
                <w:lang w:val="en-US" w:eastAsia="zh-CN"/>
              </w:rPr>
            </w:pPr>
          </w:p>
        </w:tc>
        <w:tc>
          <w:tcPr>
            <w:tcW w:w="991"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43" w:type="dxa"/>
            <w:vAlign w:val="center"/>
          </w:tcPr>
          <w:p>
            <w:pPr>
              <w:jc w:val="center"/>
              <w:rPr>
                <w:rFonts w:hint="eastAsia" w:ascii="仿宋" w:hAnsi="仿宋" w:eastAsia="仿宋" w:cs="仿宋"/>
                <w:sz w:val="21"/>
                <w:szCs w:val="21"/>
                <w:vertAlign w:val="baseline"/>
                <w:lang w:val="en-US" w:eastAsia="zh-CN"/>
              </w:rPr>
            </w:pPr>
          </w:p>
        </w:tc>
        <w:tc>
          <w:tcPr>
            <w:tcW w:w="963" w:type="dxa"/>
            <w:vAlign w:val="center"/>
          </w:tcPr>
          <w:p>
            <w:pPr>
              <w:jc w:val="center"/>
              <w:rPr>
                <w:rFonts w:hint="eastAsia" w:ascii="仿宋" w:hAnsi="仿宋" w:eastAsia="仿宋" w:cs="仿宋"/>
                <w:sz w:val="21"/>
                <w:szCs w:val="21"/>
                <w:vertAlign w:val="baseline"/>
                <w:lang w:val="en-US" w:eastAsia="zh-CN"/>
              </w:rPr>
            </w:pPr>
          </w:p>
        </w:tc>
        <w:tc>
          <w:tcPr>
            <w:tcW w:w="749" w:type="dxa"/>
            <w:vAlign w:val="center"/>
          </w:tcPr>
          <w:p>
            <w:pPr>
              <w:jc w:val="center"/>
              <w:rPr>
                <w:rFonts w:hint="eastAsia" w:ascii="仿宋" w:hAnsi="仿宋" w:eastAsia="仿宋" w:cs="仿宋"/>
                <w:sz w:val="21"/>
                <w:szCs w:val="21"/>
                <w:vertAlign w:val="baseline"/>
                <w:lang w:val="en-US" w:eastAsia="zh-CN"/>
              </w:rPr>
            </w:pPr>
          </w:p>
        </w:tc>
        <w:tc>
          <w:tcPr>
            <w:tcW w:w="870" w:type="dxa"/>
            <w:vAlign w:val="center"/>
          </w:tcPr>
          <w:p>
            <w:pPr>
              <w:jc w:val="center"/>
              <w:rPr>
                <w:rFonts w:hint="eastAsia" w:ascii="仿宋" w:hAnsi="仿宋" w:eastAsia="仿宋" w:cs="仿宋"/>
                <w:sz w:val="21"/>
                <w:szCs w:val="21"/>
                <w:vertAlign w:val="baseline"/>
                <w:lang w:val="en-US" w:eastAsia="zh-CN"/>
              </w:rPr>
            </w:pPr>
          </w:p>
        </w:tc>
        <w:tc>
          <w:tcPr>
            <w:tcW w:w="1021" w:type="dxa"/>
            <w:vAlign w:val="center"/>
          </w:tcPr>
          <w:p>
            <w:pPr>
              <w:jc w:val="center"/>
              <w:rPr>
                <w:rFonts w:hint="eastAsia" w:ascii="仿宋" w:hAnsi="仿宋" w:eastAsia="仿宋" w:cs="仿宋"/>
                <w:sz w:val="21"/>
                <w:szCs w:val="21"/>
                <w:vertAlign w:val="baseline"/>
                <w:lang w:val="en-US" w:eastAsia="zh-CN"/>
              </w:rPr>
            </w:pPr>
          </w:p>
        </w:tc>
        <w:tc>
          <w:tcPr>
            <w:tcW w:w="790" w:type="dxa"/>
            <w:vAlign w:val="center"/>
          </w:tcPr>
          <w:p>
            <w:pPr>
              <w:jc w:val="center"/>
              <w:rPr>
                <w:rFonts w:hint="eastAsia" w:ascii="仿宋" w:hAnsi="仿宋" w:eastAsia="仿宋" w:cs="仿宋"/>
                <w:sz w:val="21"/>
                <w:szCs w:val="21"/>
                <w:vertAlign w:val="baseline"/>
                <w:lang w:val="en-US" w:eastAsia="zh-CN"/>
              </w:rPr>
            </w:pPr>
          </w:p>
        </w:tc>
        <w:tc>
          <w:tcPr>
            <w:tcW w:w="854" w:type="dxa"/>
            <w:vAlign w:val="center"/>
          </w:tcPr>
          <w:p>
            <w:pPr>
              <w:jc w:val="center"/>
              <w:rPr>
                <w:rFonts w:hint="eastAsia" w:ascii="仿宋" w:hAnsi="仿宋" w:eastAsia="仿宋" w:cs="仿宋"/>
                <w:sz w:val="21"/>
                <w:szCs w:val="21"/>
                <w:vertAlign w:val="baseline"/>
                <w:lang w:val="en-US" w:eastAsia="zh-CN"/>
              </w:rPr>
            </w:pPr>
          </w:p>
        </w:tc>
        <w:tc>
          <w:tcPr>
            <w:tcW w:w="1028" w:type="dxa"/>
            <w:vAlign w:val="center"/>
          </w:tcPr>
          <w:p>
            <w:pPr>
              <w:jc w:val="center"/>
              <w:rPr>
                <w:rFonts w:hint="eastAsia" w:ascii="仿宋" w:hAnsi="仿宋" w:eastAsia="仿宋" w:cs="仿宋"/>
                <w:sz w:val="21"/>
                <w:szCs w:val="21"/>
                <w:vertAlign w:val="baseline"/>
                <w:lang w:val="en-US" w:eastAsia="zh-CN"/>
              </w:rPr>
            </w:pPr>
          </w:p>
        </w:tc>
        <w:tc>
          <w:tcPr>
            <w:tcW w:w="751" w:type="dxa"/>
            <w:vAlign w:val="center"/>
          </w:tcPr>
          <w:p>
            <w:pPr>
              <w:jc w:val="center"/>
              <w:rPr>
                <w:rFonts w:hint="eastAsia" w:ascii="仿宋" w:hAnsi="仿宋" w:eastAsia="仿宋" w:cs="仿宋"/>
                <w:sz w:val="21"/>
                <w:szCs w:val="21"/>
                <w:vertAlign w:val="baseline"/>
                <w:lang w:val="en-US" w:eastAsia="zh-CN"/>
              </w:rPr>
            </w:pPr>
          </w:p>
        </w:tc>
        <w:tc>
          <w:tcPr>
            <w:tcW w:w="991" w:type="dxa"/>
            <w:vAlign w:val="center"/>
          </w:tcPr>
          <w:p>
            <w:pPr>
              <w:jc w:val="center"/>
              <w:rPr>
                <w:rFonts w:hint="eastAsia" w:ascii="仿宋" w:hAnsi="仿宋" w:eastAsia="仿宋" w:cs="仿宋"/>
                <w:sz w:val="21"/>
                <w:szCs w:val="21"/>
                <w:vertAlign w:val="baseline"/>
                <w:lang w:val="en-US" w:eastAsia="zh-CN"/>
              </w:rPr>
            </w:pPr>
          </w:p>
        </w:tc>
      </w:tr>
    </w:tbl>
    <w:p>
      <w:pPr>
        <w:ind w:firstLine="240" w:firstLineChars="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审核人：                 填表人：             填表日期：</w:t>
      </w:r>
    </w:p>
    <w:p>
      <w:pPr>
        <w:jc w:val="both"/>
        <w:rPr>
          <w:rFonts w:hint="eastAsia" w:ascii="仿宋" w:hAnsi="仿宋" w:eastAsia="仿宋" w:cs="仿宋"/>
          <w:sz w:val="28"/>
          <w:szCs w:val="28"/>
          <w:lang w:val="en-US" w:eastAsia="zh-CN"/>
        </w:rPr>
      </w:pPr>
    </w:p>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表2  废铅蓄电池收集和转移月报表</w:t>
      </w:r>
    </w:p>
    <w:p>
      <w:pPr>
        <w:jc w:val="center"/>
        <w:rPr>
          <w:rFonts w:hint="eastAsia" w:ascii="仿宋" w:hAnsi="仿宋" w:eastAsia="仿宋" w:cs="仿宋"/>
          <w:b/>
          <w:bCs/>
          <w:sz w:val="28"/>
          <w:szCs w:val="28"/>
          <w:lang w:val="en-US" w:eastAsia="zh-CN"/>
        </w:rPr>
      </w:pPr>
    </w:p>
    <w:p>
      <w:pPr>
        <w:ind w:firstLine="480" w:firstLineChars="20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单位名称：（公章）            单位法人或授权人签字：</w:t>
      </w:r>
    </w:p>
    <w:p>
      <w:pPr>
        <w:jc w:val="both"/>
        <w:rPr>
          <w:rFonts w:hint="eastAsia" w:ascii="仿宋" w:hAnsi="仿宋" w:eastAsia="仿宋" w:cs="仿宋"/>
          <w:b w:val="0"/>
          <w:bCs w:val="0"/>
          <w:sz w:val="24"/>
          <w:szCs w:val="24"/>
          <w:lang w:val="en-US" w:eastAsia="zh-CN"/>
        </w:rPr>
      </w:pPr>
    </w:p>
    <w:p>
      <w:pPr>
        <w:ind w:firstLine="480" w:firstLineChars="20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报告起止日期:                    年   月   日至   年  月  日</w:t>
      </w:r>
    </w:p>
    <w:tbl>
      <w:tblPr>
        <w:tblStyle w:val="1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6"/>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10" w:type="dxa"/>
            <w:gridSpan w:val="2"/>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收集情况</w:t>
            </w:r>
          </w:p>
        </w:tc>
        <w:tc>
          <w:tcPr>
            <w:tcW w:w="3412" w:type="dxa"/>
            <w:gridSpan w:val="2"/>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转移情况</w:t>
            </w:r>
          </w:p>
        </w:tc>
        <w:tc>
          <w:tcPr>
            <w:tcW w:w="1706"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库存情况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来源</w:t>
            </w:r>
          </w:p>
        </w:tc>
        <w:tc>
          <w:tcPr>
            <w:tcW w:w="1705"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重量（千克）</w:t>
            </w:r>
          </w:p>
        </w:tc>
        <w:tc>
          <w:tcPr>
            <w:tcW w:w="1706"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接受单位</w:t>
            </w:r>
          </w:p>
        </w:tc>
        <w:tc>
          <w:tcPr>
            <w:tcW w:w="1706"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重量（千克）</w:t>
            </w:r>
          </w:p>
        </w:tc>
        <w:tc>
          <w:tcPr>
            <w:tcW w:w="1706"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重量（千克）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jc w:val="center"/>
              <w:rPr>
                <w:rFonts w:hint="eastAsia" w:ascii="仿宋" w:hAnsi="仿宋" w:eastAsia="仿宋" w:cs="仿宋"/>
                <w:sz w:val="21"/>
                <w:szCs w:val="21"/>
                <w:vertAlign w:val="baseline"/>
                <w:lang w:val="en-US" w:eastAsia="zh-CN"/>
              </w:rPr>
            </w:pPr>
          </w:p>
        </w:tc>
        <w:tc>
          <w:tcPr>
            <w:tcW w:w="1705"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jc w:val="center"/>
              <w:rPr>
                <w:rFonts w:hint="eastAsia" w:ascii="仿宋" w:hAnsi="仿宋" w:eastAsia="仿宋" w:cs="仿宋"/>
                <w:sz w:val="21"/>
                <w:szCs w:val="21"/>
                <w:vertAlign w:val="baseline"/>
                <w:lang w:val="en-US" w:eastAsia="zh-CN"/>
              </w:rPr>
            </w:pPr>
          </w:p>
        </w:tc>
        <w:tc>
          <w:tcPr>
            <w:tcW w:w="1705"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jc w:val="center"/>
              <w:rPr>
                <w:rFonts w:hint="eastAsia" w:ascii="仿宋" w:hAnsi="仿宋" w:eastAsia="仿宋" w:cs="仿宋"/>
                <w:sz w:val="21"/>
                <w:szCs w:val="21"/>
                <w:vertAlign w:val="baseline"/>
                <w:lang w:val="en-US" w:eastAsia="zh-CN"/>
              </w:rPr>
            </w:pPr>
          </w:p>
        </w:tc>
        <w:tc>
          <w:tcPr>
            <w:tcW w:w="1705"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jc w:val="center"/>
              <w:rPr>
                <w:rFonts w:hint="eastAsia" w:ascii="仿宋" w:hAnsi="仿宋" w:eastAsia="仿宋" w:cs="仿宋"/>
                <w:sz w:val="21"/>
                <w:szCs w:val="21"/>
                <w:vertAlign w:val="baseline"/>
                <w:lang w:val="en-US" w:eastAsia="zh-CN"/>
              </w:rPr>
            </w:pPr>
          </w:p>
        </w:tc>
        <w:tc>
          <w:tcPr>
            <w:tcW w:w="1705"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jc w:val="center"/>
              <w:rPr>
                <w:rFonts w:hint="eastAsia" w:ascii="仿宋" w:hAnsi="仿宋" w:eastAsia="仿宋" w:cs="仿宋"/>
                <w:sz w:val="21"/>
                <w:szCs w:val="21"/>
                <w:vertAlign w:val="baseline"/>
                <w:lang w:val="en-US" w:eastAsia="zh-CN"/>
              </w:rPr>
            </w:pPr>
          </w:p>
        </w:tc>
        <w:tc>
          <w:tcPr>
            <w:tcW w:w="1705"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jc w:val="center"/>
              <w:rPr>
                <w:rFonts w:hint="eastAsia" w:ascii="仿宋" w:hAnsi="仿宋" w:eastAsia="仿宋" w:cs="仿宋"/>
                <w:sz w:val="21"/>
                <w:szCs w:val="21"/>
                <w:vertAlign w:val="baseline"/>
                <w:lang w:val="en-US" w:eastAsia="zh-CN"/>
              </w:rPr>
            </w:pPr>
          </w:p>
        </w:tc>
        <w:tc>
          <w:tcPr>
            <w:tcW w:w="1705"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jc w:val="center"/>
              <w:rPr>
                <w:rFonts w:hint="eastAsia" w:ascii="仿宋" w:hAnsi="仿宋" w:eastAsia="仿宋" w:cs="仿宋"/>
                <w:sz w:val="21"/>
                <w:szCs w:val="21"/>
                <w:vertAlign w:val="baseline"/>
                <w:lang w:val="en-US" w:eastAsia="zh-CN"/>
              </w:rPr>
            </w:pPr>
          </w:p>
        </w:tc>
        <w:tc>
          <w:tcPr>
            <w:tcW w:w="1705"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jc w:val="center"/>
              <w:rPr>
                <w:rFonts w:hint="eastAsia" w:ascii="仿宋" w:hAnsi="仿宋" w:eastAsia="仿宋" w:cs="仿宋"/>
                <w:sz w:val="21"/>
                <w:szCs w:val="21"/>
                <w:vertAlign w:val="baseline"/>
                <w:lang w:val="en-US" w:eastAsia="zh-CN"/>
              </w:rPr>
            </w:pPr>
          </w:p>
        </w:tc>
        <w:tc>
          <w:tcPr>
            <w:tcW w:w="1705"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5" w:type="dxa"/>
            <w:vAlign w:val="center"/>
          </w:tcPr>
          <w:p>
            <w:pPr>
              <w:jc w:val="center"/>
              <w:rPr>
                <w:rFonts w:hint="eastAsia" w:ascii="仿宋" w:hAnsi="仿宋" w:eastAsia="仿宋" w:cs="仿宋"/>
                <w:sz w:val="21"/>
                <w:szCs w:val="21"/>
                <w:vertAlign w:val="baseline"/>
                <w:lang w:val="en-US" w:eastAsia="zh-CN"/>
              </w:rPr>
            </w:pPr>
          </w:p>
        </w:tc>
        <w:tc>
          <w:tcPr>
            <w:tcW w:w="1705"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c>
          <w:tcPr>
            <w:tcW w:w="1706" w:type="dxa"/>
            <w:vAlign w:val="center"/>
          </w:tcPr>
          <w:p>
            <w:pPr>
              <w:jc w:val="center"/>
              <w:rPr>
                <w:rFonts w:hint="eastAsia" w:ascii="仿宋" w:hAnsi="仿宋" w:eastAsia="仿宋" w:cs="仿宋"/>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40" w:firstLineChars="1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审核人：               填表人：             填表日期：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20" w:firstLineChars="3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注：“来源”需填写负责收集和转移废铅蓄电池个人或单位名称。</w:t>
      </w:r>
    </w:p>
    <w:p>
      <w:pPr>
        <w:rPr>
          <w:rFonts w:hint="eastAsia" w:ascii="黑体" w:hAnsi="黑体" w:eastAsia="黑体" w:cs="黑体"/>
          <w:b w:val="0"/>
          <w:bCs w:val="0"/>
          <w:sz w:val="30"/>
          <w:szCs w:val="30"/>
        </w:rPr>
      </w:pPr>
      <w:r>
        <w:rPr>
          <w:rFonts w:hint="eastAsia" w:ascii="黑体" w:hAnsi="黑体" w:eastAsia="黑体" w:cs="黑体"/>
          <w:b w:val="0"/>
          <w:bCs w:val="0"/>
          <w:sz w:val="30"/>
          <w:szCs w:val="30"/>
        </w:rPr>
        <w:t>附件</w:t>
      </w:r>
      <w:r>
        <w:rPr>
          <w:rFonts w:hint="eastAsia" w:ascii="黑体" w:hAnsi="黑体" w:eastAsia="黑体" w:cs="黑体"/>
          <w:b w:val="0"/>
          <w:bCs w:val="0"/>
          <w:sz w:val="30"/>
          <w:szCs w:val="30"/>
          <w:lang w:val="en-US" w:eastAsia="zh-CN"/>
        </w:rPr>
        <w:t>2</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jc w:val="center"/>
        <w:textAlignment w:val="auto"/>
        <w:outlineLvl w:val="9"/>
        <w:rPr>
          <w:rFonts w:hint="eastAsia" w:ascii="华文中宋" w:hAnsi="华文中宋" w:eastAsia="华文中宋" w:cs="华文中宋"/>
          <w:b w:val="0"/>
          <w:bCs w:val="0"/>
          <w:sz w:val="32"/>
          <w:szCs w:val="32"/>
          <w:lang w:val="en-US" w:eastAsia="zh-CN"/>
        </w:rPr>
      </w:pPr>
      <w:r>
        <w:rPr>
          <w:rFonts w:hint="eastAsia" w:ascii="华文中宋" w:hAnsi="华文中宋" w:eastAsia="华文中宋" w:cs="华文中宋"/>
          <w:b w:val="0"/>
          <w:bCs w:val="0"/>
          <w:sz w:val="32"/>
          <w:szCs w:val="32"/>
          <w:lang w:val="en-US" w:eastAsia="zh-CN"/>
        </w:rPr>
        <w:t>《青海省废铅蓄电池集中收集和跨区域转移制度</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jc w:val="center"/>
        <w:textAlignment w:val="auto"/>
        <w:outlineLvl w:val="9"/>
        <w:rPr>
          <w:rFonts w:hint="eastAsia" w:ascii="华文中宋" w:hAnsi="华文中宋" w:eastAsia="华文中宋" w:cs="华文中宋"/>
          <w:b w:val="0"/>
          <w:bCs w:val="0"/>
          <w:sz w:val="32"/>
          <w:szCs w:val="32"/>
          <w:lang w:eastAsia="zh-CN"/>
        </w:rPr>
      </w:pPr>
      <w:r>
        <w:rPr>
          <w:rFonts w:hint="eastAsia" w:ascii="华文中宋" w:hAnsi="华文中宋" w:eastAsia="华文中宋" w:cs="华文中宋"/>
          <w:b w:val="0"/>
          <w:bCs w:val="0"/>
          <w:sz w:val="32"/>
          <w:szCs w:val="32"/>
          <w:lang w:val="en-US" w:eastAsia="zh-CN"/>
        </w:rPr>
        <w:t>试点单位申请报告》</w:t>
      </w:r>
      <w:r>
        <w:rPr>
          <w:rFonts w:hint="eastAsia" w:ascii="华文中宋" w:hAnsi="华文中宋" w:eastAsia="华文中宋" w:cs="华文中宋"/>
          <w:b w:val="0"/>
          <w:bCs w:val="0"/>
          <w:sz w:val="32"/>
          <w:szCs w:val="32"/>
        </w:rPr>
        <w:t>编制</w:t>
      </w:r>
      <w:r>
        <w:rPr>
          <w:rFonts w:hint="eastAsia" w:ascii="华文中宋" w:hAnsi="华文中宋" w:eastAsia="华文中宋" w:cs="华文中宋"/>
          <w:b w:val="0"/>
          <w:bCs w:val="0"/>
          <w:sz w:val="32"/>
          <w:szCs w:val="32"/>
          <w:lang w:eastAsia="zh-CN"/>
        </w:rPr>
        <w:t>大纲</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0" w:firstLineChars="0"/>
        <w:jc w:val="center"/>
        <w:textAlignment w:val="auto"/>
        <w:outlineLvl w:val="9"/>
        <w:rPr>
          <w:rFonts w:hint="eastAsia" w:ascii="仿宋" w:hAnsi="仿宋" w:eastAsia="仿宋" w:cs="仿宋"/>
          <w:b/>
          <w:bCs/>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一、申请试点单位基本情况</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（一）试点单位名称，负责人及联系方式，统计数据报送人及联系方式（手机号、电话、电子邮箱）。</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（二）试点单位位置、规模等</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二、废铅蓄电池回收目标</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（一）开展试点工作的优势、废电池目标回收量。</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（二）本</w:t>
      </w:r>
      <w:r>
        <w:rPr>
          <w:rFonts w:hint="eastAsia" w:ascii="仿宋" w:hAnsi="仿宋" w:eastAsia="仿宋" w:cs="仿宋"/>
          <w:sz w:val="32"/>
          <w:szCs w:val="32"/>
          <w:lang w:eastAsia="zh-CN"/>
        </w:rPr>
        <w:t>试点单位吸纳</w:t>
      </w:r>
      <w:r>
        <w:rPr>
          <w:rFonts w:hint="eastAsia" w:ascii="仿宋" w:hAnsi="仿宋" w:eastAsia="仿宋" w:cs="仿宋"/>
          <w:sz w:val="32"/>
          <w:szCs w:val="32"/>
        </w:rPr>
        <w:t>的收集</w:t>
      </w:r>
      <w:r>
        <w:rPr>
          <w:rFonts w:hint="eastAsia" w:ascii="仿宋" w:hAnsi="仿宋" w:eastAsia="仿宋" w:cs="仿宋"/>
          <w:sz w:val="32"/>
          <w:szCs w:val="32"/>
          <w:lang w:eastAsia="zh-CN"/>
        </w:rPr>
        <w:t>网点</w:t>
      </w:r>
      <w:r>
        <w:rPr>
          <w:rFonts w:hint="eastAsia" w:ascii="仿宋" w:hAnsi="仿宋" w:eastAsia="仿宋" w:cs="仿宋"/>
          <w:sz w:val="32"/>
          <w:szCs w:val="32"/>
        </w:rPr>
        <w:t>地址</w:t>
      </w:r>
      <w:r>
        <w:rPr>
          <w:rFonts w:hint="eastAsia" w:ascii="仿宋" w:hAnsi="仿宋" w:eastAsia="仿宋" w:cs="仿宋"/>
          <w:sz w:val="32"/>
          <w:szCs w:val="32"/>
          <w:lang w:eastAsia="zh-CN"/>
        </w:rPr>
        <w:t>、</w:t>
      </w:r>
      <w:r>
        <w:rPr>
          <w:rFonts w:hint="eastAsia" w:ascii="仿宋" w:hAnsi="仿宋" w:eastAsia="仿宋" w:cs="仿宋"/>
          <w:sz w:val="32"/>
          <w:szCs w:val="32"/>
        </w:rPr>
        <w:t>联系人、联系方式等信息。</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（三）收集</w:t>
      </w:r>
      <w:r>
        <w:rPr>
          <w:rFonts w:hint="eastAsia" w:ascii="仿宋" w:hAnsi="仿宋" w:eastAsia="仿宋" w:cs="仿宋"/>
          <w:sz w:val="32"/>
          <w:szCs w:val="32"/>
          <w:lang w:eastAsia="zh-CN"/>
        </w:rPr>
        <w:t>网点</w:t>
      </w:r>
      <w:r>
        <w:rPr>
          <w:rFonts w:hint="eastAsia" w:ascii="仿宋" w:hAnsi="仿宋" w:eastAsia="仿宋" w:cs="仿宋"/>
          <w:sz w:val="32"/>
          <w:szCs w:val="32"/>
        </w:rPr>
        <w:t>基本情况</w:t>
      </w:r>
      <w:r>
        <w:rPr>
          <w:rFonts w:hint="eastAsia" w:ascii="仿宋" w:hAnsi="仿宋" w:eastAsia="仿宋" w:cs="仿宋"/>
          <w:sz w:val="32"/>
          <w:szCs w:val="32"/>
          <w:lang w:eastAsia="zh-CN"/>
        </w:rPr>
        <w:t>、</w:t>
      </w:r>
      <w:r>
        <w:rPr>
          <w:rFonts w:hint="eastAsia" w:ascii="仿宋" w:hAnsi="仿宋" w:eastAsia="仿宋" w:cs="仿宋"/>
          <w:sz w:val="32"/>
          <w:szCs w:val="32"/>
        </w:rPr>
        <w:t>转运车辆</w:t>
      </w:r>
      <w:r>
        <w:rPr>
          <w:rFonts w:hint="eastAsia" w:ascii="仿宋" w:hAnsi="仿宋" w:eastAsia="仿宋" w:cs="仿宋"/>
          <w:sz w:val="32"/>
          <w:szCs w:val="32"/>
          <w:lang w:eastAsia="zh-CN"/>
        </w:rPr>
        <w:t>、</w:t>
      </w:r>
      <w:r>
        <w:rPr>
          <w:rFonts w:hint="eastAsia" w:ascii="仿宋" w:hAnsi="仿宋" w:eastAsia="仿宋" w:cs="仿宋"/>
          <w:sz w:val="32"/>
          <w:szCs w:val="32"/>
        </w:rPr>
        <w:t>人员配备及培训等情况。</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三、污染防治措施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（一）贮存设施污染防治情况（地面防渗、防腐、防雨措施等）、转运车辆、应急物资清单、包装设施情况。</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（二）富液废铅蓄电池，带酸回收情况及回收环节遏制“倒酸”的有效措施。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（三）其他污染防治措施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四、环境与安全管理制度</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按照环保法律规章建立管理制度、制定应急预案、开展应急演练等情况。</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五、废铅蓄电池收集和转移试点方案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废铅蓄电池规范流向的措施、服务范围、收集贮存能力和转移量估算、运输方案及路线、废铅蓄电池利用处置去向（与持有危险废物经营许可证单位签订的合作意向书）。建立信息管理系统的计划，对相关收集、贮存、转移、利用处置信息进行记录和追踪。</w:t>
      </w:r>
    </w:p>
    <w:p>
      <w:pPr>
        <w:rPr>
          <w:rFonts w:hint="eastAsia" w:ascii="仿宋" w:hAnsi="仿宋" w:eastAsia="仿宋" w:cs="仿宋"/>
          <w:sz w:val="32"/>
          <w:szCs w:val="32"/>
        </w:rPr>
        <w:sectPr>
          <w:footerReference r:id="rId4" w:type="default"/>
          <w:pgSz w:w="11906" w:h="16838"/>
          <w:pgMar w:top="1417" w:right="1417" w:bottom="1417" w:left="1417" w:header="851" w:footer="992" w:gutter="0"/>
          <w:paperSrc/>
          <w:pgNumType w:fmt="numberInDash"/>
          <w:cols w:space="0" w:num="1"/>
          <w:rtlGutter w:val="0"/>
          <w:docGrid w:type="lines" w:linePitch="312" w:charSpace="0"/>
        </w:sectPr>
      </w:pPr>
    </w:p>
    <w:p>
      <w:pPr>
        <w:jc w:val="both"/>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附件3</w:t>
      </w:r>
    </w:p>
    <w:p>
      <w:pPr>
        <w:jc w:val="center"/>
        <w:rPr>
          <w:rFonts w:hint="eastAsia" w:ascii="华文中宋" w:hAnsi="华文中宋" w:eastAsia="华文中宋" w:cs="华文中宋"/>
          <w:b w:val="0"/>
          <w:bCs w:val="0"/>
          <w:sz w:val="32"/>
          <w:szCs w:val="32"/>
          <w:lang w:val="en-US" w:eastAsia="zh-CN"/>
        </w:rPr>
      </w:pPr>
      <w:r>
        <w:rPr>
          <w:rFonts w:hint="eastAsia" w:ascii="华文中宋" w:hAnsi="华文中宋" w:eastAsia="华文中宋" w:cs="华文中宋"/>
          <w:b w:val="0"/>
          <w:bCs w:val="0"/>
          <w:sz w:val="32"/>
          <w:szCs w:val="32"/>
          <w:lang w:val="en-US" w:eastAsia="zh-CN"/>
        </w:rPr>
        <w:t>青海省废铅蓄电池集中收集和跨区域转移制度试点单位现场核查表</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贮存场所类别：       贮存场所名称：        贮存场所编码：     地址：            核查时间： 年 月 日</w:t>
      </w:r>
    </w:p>
    <w:tbl>
      <w:tblPr>
        <w:tblStyle w:val="1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065"/>
        <w:gridCol w:w="8985"/>
        <w:gridCol w:w="1620"/>
        <w:gridCol w:w="870"/>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序号</w:t>
            </w:r>
          </w:p>
        </w:tc>
        <w:tc>
          <w:tcPr>
            <w:tcW w:w="1065" w:type="dxa"/>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考核指标</w:t>
            </w:r>
          </w:p>
        </w:tc>
        <w:tc>
          <w:tcPr>
            <w:tcW w:w="8985" w:type="dxa"/>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合格标准</w:t>
            </w:r>
          </w:p>
        </w:tc>
        <w:tc>
          <w:tcPr>
            <w:tcW w:w="1620" w:type="dxa"/>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检查方法</w:t>
            </w:r>
          </w:p>
        </w:tc>
        <w:tc>
          <w:tcPr>
            <w:tcW w:w="870" w:type="dxa"/>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合格</w:t>
            </w:r>
          </w:p>
        </w:tc>
        <w:tc>
          <w:tcPr>
            <w:tcW w:w="974" w:type="dxa"/>
            <w:vAlign w:val="center"/>
          </w:tcPr>
          <w:p>
            <w:pPr>
              <w:jc w:val="cente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1065" w:type="dxa"/>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运输工具</w:t>
            </w:r>
          </w:p>
        </w:tc>
        <w:tc>
          <w:tcPr>
            <w:tcW w:w="8985" w:type="dxa"/>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具备</w:t>
            </w:r>
            <w:r>
              <w:rPr>
                <w:rFonts w:hint="eastAsia" w:ascii="仿宋" w:hAnsi="仿宋" w:eastAsia="仿宋" w:cs="仿宋"/>
                <w:sz w:val="21"/>
                <w:szCs w:val="21"/>
                <w:vertAlign w:val="baseline"/>
                <w:lang w:eastAsia="zh-CN"/>
              </w:rPr>
              <w:t>符合《道路危险货物运输管理规定》和原青海省环境保护厅</w:t>
            </w:r>
            <w:r>
              <w:rPr>
                <w:rFonts w:hint="eastAsia" w:ascii="仿宋" w:hAnsi="仿宋" w:eastAsia="仿宋" w:cs="仿宋"/>
                <w:sz w:val="21"/>
                <w:szCs w:val="21"/>
                <w:vertAlign w:val="baseline"/>
                <w:lang w:val="en-US" w:eastAsia="zh-CN"/>
              </w:rPr>
              <w:t xml:space="preserve"> 青海省交通运输厅 青海省公安厅《关于进一步加强危险废物运输管理工作的通知》规定的</w:t>
            </w:r>
            <w:r>
              <w:rPr>
                <w:rFonts w:hint="eastAsia" w:ascii="仿宋" w:hAnsi="仿宋" w:eastAsia="仿宋" w:cs="仿宋"/>
                <w:sz w:val="21"/>
                <w:szCs w:val="21"/>
                <w:vertAlign w:val="baseline"/>
              </w:rPr>
              <w:t>专用的废铅蓄电池</w:t>
            </w:r>
            <w:r>
              <w:rPr>
                <w:rFonts w:hint="eastAsia" w:ascii="仿宋" w:hAnsi="仿宋" w:eastAsia="仿宋" w:cs="仿宋"/>
                <w:sz w:val="21"/>
                <w:szCs w:val="21"/>
                <w:vertAlign w:val="baseline"/>
                <w:lang w:eastAsia="zh-CN"/>
              </w:rPr>
              <w:t>运输工具，或有与具备危险货物运输资质和能力的运输公司签订的长期合作协议。</w:t>
            </w:r>
          </w:p>
        </w:tc>
        <w:tc>
          <w:tcPr>
            <w:tcW w:w="1620" w:type="dxa"/>
          </w:tcPr>
          <w:p>
            <w:pPr>
              <w:rPr>
                <w:rFonts w:hint="eastAsia" w:ascii="仿宋" w:hAnsi="仿宋" w:eastAsia="仿宋" w:cs="仿宋"/>
                <w:sz w:val="21"/>
                <w:szCs w:val="21"/>
                <w:vertAlign w:val="baseline"/>
              </w:rPr>
            </w:pPr>
          </w:p>
        </w:tc>
        <w:tc>
          <w:tcPr>
            <w:tcW w:w="870" w:type="dxa"/>
          </w:tcPr>
          <w:p>
            <w:pPr>
              <w:rPr>
                <w:rFonts w:hint="eastAsia" w:ascii="仿宋" w:hAnsi="仿宋" w:eastAsia="仿宋" w:cs="仿宋"/>
                <w:sz w:val="21"/>
                <w:szCs w:val="21"/>
                <w:vertAlign w:val="baseline"/>
              </w:rPr>
            </w:pPr>
          </w:p>
        </w:tc>
        <w:tc>
          <w:tcPr>
            <w:tcW w:w="974" w:type="dxa"/>
          </w:tcPr>
          <w:p>
            <w:pP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1065" w:type="dxa"/>
            <w:vMerge w:val="restart"/>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包装工具</w:t>
            </w:r>
          </w:p>
        </w:tc>
        <w:tc>
          <w:tcPr>
            <w:tcW w:w="8985" w:type="dxa"/>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已破损的废铅蓄电池必须在专用容器中运输，专用容器应不易破损、变形 ，</w:t>
            </w:r>
          </w:p>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其所用材抖能有效地防止渗漏、扩散，并耐酸腐蚀</w:t>
            </w:r>
          </w:p>
        </w:tc>
        <w:tc>
          <w:tcPr>
            <w:tcW w:w="1620" w:type="dxa"/>
          </w:tcPr>
          <w:p>
            <w:pPr>
              <w:rPr>
                <w:rFonts w:hint="eastAsia" w:ascii="仿宋" w:hAnsi="仿宋" w:eastAsia="仿宋" w:cs="仿宋"/>
                <w:sz w:val="21"/>
                <w:szCs w:val="21"/>
                <w:vertAlign w:val="baseline"/>
              </w:rPr>
            </w:pPr>
          </w:p>
        </w:tc>
        <w:tc>
          <w:tcPr>
            <w:tcW w:w="870" w:type="dxa"/>
          </w:tcPr>
          <w:p>
            <w:pPr>
              <w:rPr>
                <w:rFonts w:hint="eastAsia" w:ascii="仿宋" w:hAnsi="仿宋" w:eastAsia="仿宋" w:cs="仿宋"/>
                <w:sz w:val="21"/>
                <w:szCs w:val="21"/>
                <w:vertAlign w:val="baseline"/>
              </w:rPr>
            </w:pPr>
          </w:p>
        </w:tc>
        <w:tc>
          <w:tcPr>
            <w:tcW w:w="974" w:type="dxa"/>
          </w:tcPr>
          <w:p>
            <w:pP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Merge w:val="continue"/>
            <w:vAlign w:val="center"/>
          </w:tcPr>
          <w:p>
            <w:pPr>
              <w:jc w:val="center"/>
              <w:rPr>
                <w:rFonts w:hint="eastAsia" w:ascii="仿宋" w:hAnsi="仿宋" w:eastAsia="仿宋" w:cs="仿宋"/>
                <w:sz w:val="21"/>
                <w:szCs w:val="21"/>
                <w:vertAlign w:val="baseline"/>
              </w:rPr>
            </w:pPr>
          </w:p>
        </w:tc>
        <w:tc>
          <w:tcPr>
            <w:tcW w:w="1065" w:type="dxa"/>
            <w:vMerge w:val="continue"/>
            <w:vAlign w:val="center"/>
          </w:tcPr>
          <w:p>
            <w:pPr>
              <w:jc w:val="both"/>
              <w:rPr>
                <w:rFonts w:hint="eastAsia" w:ascii="仿宋" w:hAnsi="仿宋" w:eastAsia="仿宋" w:cs="仿宋"/>
                <w:sz w:val="21"/>
                <w:szCs w:val="21"/>
                <w:vertAlign w:val="baseline"/>
              </w:rPr>
            </w:pPr>
          </w:p>
        </w:tc>
        <w:tc>
          <w:tcPr>
            <w:tcW w:w="8985" w:type="dxa"/>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废铅电池有电解液渗漏的，其渗漏液应贮存在耐酸容器中。已经拆装的铅材</w:t>
            </w:r>
          </w:p>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料应包装后收集</w:t>
            </w:r>
          </w:p>
        </w:tc>
        <w:tc>
          <w:tcPr>
            <w:tcW w:w="1620" w:type="dxa"/>
          </w:tcPr>
          <w:p>
            <w:pPr>
              <w:rPr>
                <w:rFonts w:hint="eastAsia" w:ascii="仿宋" w:hAnsi="仿宋" w:eastAsia="仿宋" w:cs="仿宋"/>
                <w:sz w:val="21"/>
                <w:szCs w:val="21"/>
                <w:vertAlign w:val="baseline"/>
              </w:rPr>
            </w:pPr>
          </w:p>
        </w:tc>
        <w:tc>
          <w:tcPr>
            <w:tcW w:w="870" w:type="dxa"/>
          </w:tcPr>
          <w:p>
            <w:pPr>
              <w:rPr>
                <w:rFonts w:hint="eastAsia" w:ascii="仿宋" w:hAnsi="仿宋" w:eastAsia="仿宋" w:cs="仿宋"/>
                <w:sz w:val="21"/>
                <w:szCs w:val="21"/>
                <w:vertAlign w:val="baseline"/>
              </w:rPr>
            </w:pPr>
          </w:p>
        </w:tc>
        <w:tc>
          <w:tcPr>
            <w:tcW w:w="974" w:type="dxa"/>
          </w:tcPr>
          <w:p>
            <w:pP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Merge w:val="continue"/>
            <w:vAlign w:val="center"/>
          </w:tcPr>
          <w:p>
            <w:pPr>
              <w:jc w:val="center"/>
              <w:rPr>
                <w:rFonts w:hint="eastAsia" w:ascii="仿宋" w:hAnsi="仿宋" w:eastAsia="仿宋" w:cs="仿宋"/>
                <w:sz w:val="21"/>
                <w:szCs w:val="21"/>
                <w:vertAlign w:val="baseline"/>
              </w:rPr>
            </w:pPr>
          </w:p>
        </w:tc>
        <w:tc>
          <w:tcPr>
            <w:tcW w:w="1065" w:type="dxa"/>
            <w:vMerge w:val="continue"/>
            <w:vAlign w:val="center"/>
          </w:tcPr>
          <w:p>
            <w:pPr>
              <w:jc w:val="both"/>
              <w:rPr>
                <w:rFonts w:hint="eastAsia" w:ascii="仿宋" w:hAnsi="仿宋" w:eastAsia="仿宋" w:cs="仿宋"/>
                <w:sz w:val="21"/>
                <w:szCs w:val="21"/>
                <w:vertAlign w:val="baseline"/>
              </w:rPr>
            </w:pPr>
          </w:p>
        </w:tc>
        <w:tc>
          <w:tcPr>
            <w:tcW w:w="8985" w:type="dxa"/>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装有已破损的废铅蓄电池的容器必须粘贴符合 GB18597 中附录 A 所要求的</w:t>
            </w:r>
          </w:p>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危险废物标签</w:t>
            </w:r>
          </w:p>
        </w:tc>
        <w:tc>
          <w:tcPr>
            <w:tcW w:w="1620" w:type="dxa"/>
          </w:tcPr>
          <w:p>
            <w:pPr>
              <w:rPr>
                <w:rFonts w:hint="eastAsia" w:ascii="仿宋" w:hAnsi="仿宋" w:eastAsia="仿宋" w:cs="仿宋"/>
                <w:sz w:val="21"/>
                <w:szCs w:val="21"/>
                <w:vertAlign w:val="baseline"/>
              </w:rPr>
            </w:pPr>
          </w:p>
        </w:tc>
        <w:tc>
          <w:tcPr>
            <w:tcW w:w="870" w:type="dxa"/>
          </w:tcPr>
          <w:p>
            <w:pPr>
              <w:rPr>
                <w:rFonts w:hint="eastAsia" w:ascii="仿宋" w:hAnsi="仿宋" w:eastAsia="仿宋" w:cs="仿宋"/>
                <w:sz w:val="21"/>
                <w:szCs w:val="21"/>
                <w:vertAlign w:val="baseline"/>
              </w:rPr>
            </w:pPr>
          </w:p>
        </w:tc>
        <w:tc>
          <w:tcPr>
            <w:tcW w:w="974" w:type="dxa"/>
          </w:tcPr>
          <w:p>
            <w:pP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1065" w:type="dxa"/>
            <w:vMerge w:val="restart"/>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中转和临时存放设施</w:t>
            </w:r>
          </w:p>
        </w:tc>
        <w:tc>
          <w:tcPr>
            <w:tcW w:w="8985" w:type="dxa"/>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必须具备独立的场地，具备足够的贮存空间：</w:t>
            </w:r>
          </w:p>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1、</w:t>
            </w:r>
            <w:r>
              <w:rPr>
                <w:rFonts w:hint="eastAsia" w:ascii="仿宋" w:hAnsi="仿宋" w:eastAsia="仿宋" w:cs="仿宋"/>
                <w:sz w:val="21"/>
                <w:szCs w:val="21"/>
                <w:vertAlign w:val="baseline"/>
                <w:lang w:eastAsia="zh-CN"/>
              </w:rPr>
              <w:t>收集网点以销售单位库房作为暂存库，但必须与产品电池隔离，独立分区存放，</w:t>
            </w:r>
            <w:r>
              <w:rPr>
                <w:rFonts w:hint="eastAsia" w:ascii="仿宋" w:hAnsi="仿宋" w:eastAsia="仿宋" w:cs="仿宋"/>
                <w:sz w:val="21"/>
                <w:szCs w:val="21"/>
                <w:vertAlign w:val="baseline"/>
              </w:rPr>
              <w:t>面积不少于3平方米；具有硬化地面及耐腐蚀包装容器；贮存时间最长不超过60天</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须设有防火装置和警示标志，并安装监控系统。</w:t>
            </w:r>
          </w:p>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2</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具有符合国家或者地方环境保护标准和安全要求的贮存场址</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贮存设施面积不少于</w:t>
            </w:r>
            <w:r>
              <w:rPr>
                <w:rFonts w:hint="eastAsia" w:ascii="仿宋" w:hAnsi="仿宋" w:eastAsia="仿宋" w:cs="仿宋"/>
                <w:sz w:val="21"/>
                <w:szCs w:val="21"/>
                <w:vertAlign w:val="baseline"/>
                <w:lang w:val="en-US" w:eastAsia="zh-CN"/>
              </w:rPr>
              <w:t>100</w:t>
            </w:r>
            <w:r>
              <w:rPr>
                <w:rFonts w:hint="eastAsia" w:ascii="仿宋" w:hAnsi="仿宋" w:eastAsia="仿宋" w:cs="仿宋"/>
                <w:sz w:val="21"/>
                <w:szCs w:val="21"/>
                <w:vertAlign w:val="baseline"/>
              </w:rPr>
              <w:t>平方米；具有硬化地面、必要的防渗措施及耐腐蚀包装容器；具有废酸液应急收集处理措施</w:t>
            </w:r>
          </w:p>
        </w:tc>
        <w:tc>
          <w:tcPr>
            <w:tcW w:w="1620" w:type="dxa"/>
          </w:tcPr>
          <w:p>
            <w:pPr>
              <w:rPr>
                <w:rFonts w:hint="eastAsia" w:ascii="仿宋" w:hAnsi="仿宋" w:eastAsia="仿宋" w:cs="仿宋"/>
                <w:sz w:val="21"/>
                <w:szCs w:val="21"/>
                <w:vertAlign w:val="baseline"/>
              </w:rPr>
            </w:pPr>
          </w:p>
        </w:tc>
        <w:tc>
          <w:tcPr>
            <w:tcW w:w="870" w:type="dxa"/>
          </w:tcPr>
          <w:p>
            <w:pPr>
              <w:rPr>
                <w:rFonts w:hint="eastAsia" w:ascii="仿宋" w:hAnsi="仿宋" w:eastAsia="仿宋" w:cs="仿宋"/>
                <w:sz w:val="21"/>
                <w:szCs w:val="21"/>
                <w:vertAlign w:val="baseline"/>
              </w:rPr>
            </w:pPr>
          </w:p>
        </w:tc>
        <w:tc>
          <w:tcPr>
            <w:tcW w:w="974" w:type="dxa"/>
          </w:tcPr>
          <w:p>
            <w:pP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Merge w:val="continue"/>
          </w:tcPr>
          <w:p>
            <w:pPr>
              <w:rPr>
                <w:rFonts w:hint="eastAsia" w:ascii="仿宋" w:hAnsi="仿宋" w:eastAsia="仿宋" w:cs="仿宋"/>
                <w:sz w:val="21"/>
                <w:szCs w:val="21"/>
                <w:vertAlign w:val="baseline"/>
              </w:rPr>
            </w:pPr>
          </w:p>
        </w:tc>
        <w:tc>
          <w:tcPr>
            <w:tcW w:w="1065" w:type="dxa"/>
            <w:vMerge w:val="continue"/>
            <w:vAlign w:val="center"/>
          </w:tcPr>
          <w:p>
            <w:pPr>
              <w:jc w:val="both"/>
              <w:rPr>
                <w:rFonts w:hint="eastAsia" w:ascii="仿宋" w:hAnsi="仿宋" w:eastAsia="仿宋" w:cs="仿宋"/>
                <w:sz w:val="21"/>
                <w:szCs w:val="21"/>
                <w:vertAlign w:val="baseline"/>
              </w:rPr>
            </w:pPr>
          </w:p>
        </w:tc>
        <w:tc>
          <w:tcPr>
            <w:tcW w:w="8985" w:type="dxa"/>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贮存设施应为专门场所，符合法律法规要求及当地环保部门的有关规定，应设在易燃、易爆等危险品仓库及高压输电线路防护区域以外</w:t>
            </w:r>
          </w:p>
        </w:tc>
        <w:tc>
          <w:tcPr>
            <w:tcW w:w="1620" w:type="dxa"/>
          </w:tcPr>
          <w:p>
            <w:pPr>
              <w:rPr>
                <w:rFonts w:hint="eastAsia" w:ascii="仿宋" w:hAnsi="仿宋" w:eastAsia="仿宋" w:cs="仿宋"/>
                <w:sz w:val="21"/>
                <w:szCs w:val="21"/>
                <w:vertAlign w:val="baseline"/>
              </w:rPr>
            </w:pPr>
          </w:p>
        </w:tc>
        <w:tc>
          <w:tcPr>
            <w:tcW w:w="870" w:type="dxa"/>
          </w:tcPr>
          <w:p>
            <w:pPr>
              <w:rPr>
                <w:rFonts w:hint="eastAsia" w:ascii="仿宋" w:hAnsi="仿宋" w:eastAsia="仿宋" w:cs="仿宋"/>
                <w:sz w:val="21"/>
                <w:szCs w:val="21"/>
                <w:vertAlign w:val="baseline"/>
              </w:rPr>
            </w:pPr>
          </w:p>
        </w:tc>
        <w:tc>
          <w:tcPr>
            <w:tcW w:w="974" w:type="dxa"/>
          </w:tcPr>
          <w:p>
            <w:pP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Merge w:val="continue"/>
          </w:tcPr>
          <w:p>
            <w:pPr>
              <w:rPr>
                <w:rFonts w:hint="eastAsia" w:ascii="仿宋" w:hAnsi="仿宋" w:eastAsia="仿宋" w:cs="仿宋"/>
                <w:sz w:val="21"/>
                <w:szCs w:val="21"/>
                <w:vertAlign w:val="baseline"/>
              </w:rPr>
            </w:pPr>
          </w:p>
        </w:tc>
        <w:tc>
          <w:tcPr>
            <w:tcW w:w="1065" w:type="dxa"/>
            <w:vMerge w:val="continue"/>
            <w:vAlign w:val="center"/>
          </w:tcPr>
          <w:p>
            <w:pPr>
              <w:jc w:val="both"/>
              <w:rPr>
                <w:rFonts w:hint="eastAsia" w:ascii="仿宋" w:hAnsi="仿宋" w:eastAsia="仿宋" w:cs="仿宋"/>
                <w:sz w:val="21"/>
                <w:szCs w:val="21"/>
                <w:vertAlign w:val="baseline"/>
              </w:rPr>
            </w:pPr>
          </w:p>
        </w:tc>
        <w:tc>
          <w:tcPr>
            <w:tcW w:w="8985" w:type="dxa"/>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按照 GB15562 设立危险废物警示标志，只允许专门人员进入设施</w:t>
            </w:r>
          </w:p>
        </w:tc>
        <w:tc>
          <w:tcPr>
            <w:tcW w:w="1620" w:type="dxa"/>
          </w:tcPr>
          <w:p>
            <w:pPr>
              <w:rPr>
                <w:rFonts w:hint="eastAsia" w:ascii="仿宋" w:hAnsi="仿宋" w:eastAsia="仿宋" w:cs="仿宋"/>
                <w:sz w:val="21"/>
                <w:szCs w:val="21"/>
                <w:vertAlign w:val="baseline"/>
              </w:rPr>
            </w:pPr>
          </w:p>
        </w:tc>
        <w:tc>
          <w:tcPr>
            <w:tcW w:w="870" w:type="dxa"/>
          </w:tcPr>
          <w:p>
            <w:pPr>
              <w:rPr>
                <w:rFonts w:hint="eastAsia" w:ascii="仿宋" w:hAnsi="仿宋" w:eastAsia="仿宋" w:cs="仿宋"/>
                <w:sz w:val="21"/>
                <w:szCs w:val="21"/>
                <w:vertAlign w:val="baseline"/>
              </w:rPr>
            </w:pPr>
          </w:p>
        </w:tc>
        <w:tc>
          <w:tcPr>
            <w:tcW w:w="974" w:type="dxa"/>
          </w:tcPr>
          <w:p>
            <w:pP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1065" w:type="dxa"/>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人员配备</w:t>
            </w:r>
          </w:p>
        </w:tc>
        <w:tc>
          <w:tcPr>
            <w:tcW w:w="8985" w:type="dxa"/>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收集网点</w:t>
            </w:r>
            <w:r>
              <w:rPr>
                <w:rFonts w:hint="eastAsia" w:ascii="仿宋" w:hAnsi="仿宋" w:eastAsia="仿宋" w:cs="仿宋"/>
                <w:sz w:val="21"/>
                <w:szCs w:val="21"/>
                <w:vertAlign w:val="baseline"/>
              </w:rPr>
              <w:t>有</w:t>
            </w:r>
            <w:r>
              <w:rPr>
                <w:rFonts w:hint="eastAsia" w:ascii="仿宋" w:hAnsi="仿宋" w:eastAsia="仿宋" w:cs="仿宋"/>
                <w:sz w:val="21"/>
                <w:szCs w:val="21"/>
                <w:vertAlign w:val="baseline"/>
                <w:lang w:val="en-US" w:eastAsia="zh-CN"/>
              </w:rPr>
              <w:t>1</w:t>
            </w:r>
            <w:r>
              <w:rPr>
                <w:rFonts w:hint="eastAsia" w:ascii="仿宋" w:hAnsi="仿宋" w:eastAsia="仿宋" w:cs="仿宋"/>
                <w:sz w:val="21"/>
                <w:szCs w:val="21"/>
                <w:vertAlign w:val="baseline"/>
              </w:rPr>
              <w:t>名以上专业从事危险废物处理处置的技术人员</w:t>
            </w:r>
            <w:r>
              <w:rPr>
                <w:rFonts w:hint="eastAsia" w:ascii="仿宋" w:hAnsi="仿宋" w:eastAsia="仿宋" w:cs="仿宋"/>
                <w:sz w:val="21"/>
                <w:szCs w:val="21"/>
                <w:vertAlign w:val="baseline"/>
                <w:lang w:eastAsia="zh-CN"/>
              </w:rPr>
              <w:t>。</w:t>
            </w: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集中转运点</w:t>
            </w:r>
            <w:r>
              <w:rPr>
                <w:rFonts w:hint="eastAsia" w:ascii="仿宋" w:hAnsi="仿宋" w:eastAsia="仿宋" w:cs="仿宋"/>
                <w:sz w:val="21"/>
                <w:szCs w:val="21"/>
                <w:vertAlign w:val="baseline"/>
              </w:rPr>
              <w:t>有</w:t>
            </w:r>
            <w:r>
              <w:rPr>
                <w:rFonts w:hint="eastAsia" w:ascii="仿宋" w:hAnsi="仿宋" w:eastAsia="仿宋" w:cs="仿宋"/>
                <w:sz w:val="21"/>
                <w:szCs w:val="21"/>
                <w:vertAlign w:val="baseline"/>
                <w:lang w:val="en-US" w:eastAsia="zh-CN"/>
              </w:rPr>
              <w:t>3</w:t>
            </w:r>
            <w:r>
              <w:rPr>
                <w:rFonts w:hint="eastAsia" w:ascii="仿宋" w:hAnsi="仿宋" w:eastAsia="仿宋" w:cs="仿宋"/>
                <w:sz w:val="21"/>
                <w:szCs w:val="21"/>
                <w:vertAlign w:val="baseline"/>
              </w:rPr>
              <w:t>名以上专业从事危险废物处理处置的技术人员</w:t>
            </w:r>
            <w:r>
              <w:rPr>
                <w:rFonts w:hint="eastAsia" w:ascii="仿宋" w:hAnsi="仿宋" w:eastAsia="仿宋" w:cs="仿宋"/>
                <w:sz w:val="21"/>
                <w:szCs w:val="21"/>
                <w:vertAlign w:val="baseline"/>
                <w:lang w:eastAsia="zh-CN"/>
              </w:rPr>
              <w:t>。</w:t>
            </w:r>
          </w:p>
        </w:tc>
        <w:tc>
          <w:tcPr>
            <w:tcW w:w="1620" w:type="dxa"/>
          </w:tcPr>
          <w:p>
            <w:pPr>
              <w:rPr>
                <w:rFonts w:hint="eastAsia" w:ascii="仿宋" w:hAnsi="仿宋" w:eastAsia="仿宋" w:cs="仿宋"/>
                <w:sz w:val="21"/>
                <w:szCs w:val="21"/>
                <w:vertAlign w:val="baseline"/>
              </w:rPr>
            </w:pPr>
          </w:p>
        </w:tc>
        <w:tc>
          <w:tcPr>
            <w:tcW w:w="870" w:type="dxa"/>
          </w:tcPr>
          <w:p>
            <w:pPr>
              <w:rPr>
                <w:rFonts w:hint="eastAsia" w:ascii="仿宋" w:hAnsi="仿宋" w:eastAsia="仿宋" w:cs="仿宋"/>
                <w:sz w:val="21"/>
                <w:szCs w:val="21"/>
                <w:vertAlign w:val="baseline"/>
              </w:rPr>
            </w:pPr>
          </w:p>
        </w:tc>
        <w:tc>
          <w:tcPr>
            <w:tcW w:w="974" w:type="dxa"/>
          </w:tcPr>
          <w:p>
            <w:pPr>
              <w:rPr>
                <w:rFonts w:hint="eastAsia" w:ascii="仿宋" w:hAnsi="仿宋" w:eastAsia="仿宋" w:cs="仿宋"/>
                <w:sz w:val="21"/>
                <w:szCs w:val="21"/>
                <w:vertAlign w:val="baseline"/>
              </w:rPr>
            </w:pPr>
          </w:p>
        </w:tc>
      </w:tr>
    </w:tbl>
    <w:p>
      <w:pPr>
        <w:rPr>
          <w:rFonts w:hint="eastAsia" w:ascii="仿宋" w:hAnsi="仿宋" w:eastAsia="仿宋" w:cs="仿宋"/>
          <w:sz w:val="32"/>
          <w:szCs w:val="32"/>
        </w:rPr>
      </w:pPr>
      <w:r>
        <w:rPr>
          <w:rFonts w:hint="eastAsia" w:ascii="仿宋" w:hAnsi="仿宋" w:eastAsia="仿宋" w:cs="仿宋"/>
          <w:sz w:val="32"/>
          <w:szCs w:val="32"/>
        </w:rPr>
        <w:br w:type="page"/>
      </w:r>
    </w:p>
    <w:tbl>
      <w:tblPr>
        <w:tblStyle w:val="1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065"/>
        <w:gridCol w:w="8985"/>
        <w:gridCol w:w="1620"/>
        <w:gridCol w:w="870"/>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序号</w:t>
            </w:r>
          </w:p>
        </w:tc>
        <w:tc>
          <w:tcPr>
            <w:tcW w:w="1065"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考核指标</w:t>
            </w:r>
          </w:p>
        </w:tc>
        <w:tc>
          <w:tcPr>
            <w:tcW w:w="8985"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合格标准</w:t>
            </w:r>
          </w:p>
        </w:tc>
        <w:tc>
          <w:tcPr>
            <w:tcW w:w="1620"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检查方法</w:t>
            </w:r>
          </w:p>
        </w:tc>
        <w:tc>
          <w:tcPr>
            <w:tcW w:w="870"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合格</w:t>
            </w:r>
          </w:p>
        </w:tc>
        <w:tc>
          <w:tcPr>
            <w:tcW w:w="974"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1065" w:type="dxa"/>
            <w:vMerge w:val="restart"/>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规章制度</w:t>
            </w:r>
          </w:p>
        </w:tc>
        <w:tc>
          <w:tcPr>
            <w:tcW w:w="8985" w:type="dxa"/>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应具有保证危险废物经营安全（废铅蓄电池安全收集、集中贮存）的规章制</w:t>
            </w:r>
          </w:p>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rPr>
              <w:t xml:space="preserve">度 </w:t>
            </w:r>
          </w:p>
        </w:tc>
        <w:tc>
          <w:tcPr>
            <w:tcW w:w="1620" w:type="dxa"/>
          </w:tcPr>
          <w:p>
            <w:pPr>
              <w:rPr>
                <w:rFonts w:hint="eastAsia" w:ascii="仿宋" w:hAnsi="仿宋" w:eastAsia="仿宋" w:cs="仿宋"/>
                <w:sz w:val="21"/>
                <w:szCs w:val="21"/>
                <w:vertAlign w:val="baseline"/>
                <w:lang w:eastAsia="zh-CN"/>
              </w:rPr>
            </w:pPr>
          </w:p>
        </w:tc>
        <w:tc>
          <w:tcPr>
            <w:tcW w:w="870" w:type="dxa"/>
          </w:tcPr>
          <w:p>
            <w:pPr>
              <w:rPr>
                <w:rFonts w:hint="eastAsia" w:ascii="仿宋" w:hAnsi="仿宋" w:eastAsia="仿宋" w:cs="仿宋"/>
                <w:sz w:val="21"/>
                <w:szCs w:val="21"/>
                <w:vertAlign w:val="baseline"/>
                <w:lang w:eastAsia="zh-CN"/>
              </w:rPr>
            </w:pPr>
          </w:p>
        </w:tc>
        <w:tc>
          <w:tcPr>
            <w:tcW w:w="974" w:type="dxa"/>
          </w:tcPr>
          <w:p>
            <w:pPr>
              <w:rPr>
                <w:rFonts w:hint="eastAsia" w:ascii="仿宋" w:hAnsi="仿宋" w:eastAsia="仿宋" w:cs="仿宋"/>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Merge w:val="continue"/>
            <w:vAlign w:val="center"/>
          </w:tcPr>
          <w:p>
            <w:pPr>
              <w:jc w:val="center"/>
              <w:rPr>
                <w:rFonts w:hint="eastAsia" w:ascii="仿宋" w:hAnsi="仿宋" w:eastAsia="仿宋" w:cs="仿宋"/>
                <w:sz w:val="21"/>
                <w:szCs w:val="21"/>
                <w:vertAlign w:val="baseline"/>
                <w:lang w:eastAsia="zh-CN"/>
              </w:rPr>
            </w:pPr>
          </w:p>
        </w:tc>
        <w:tc>
          <w:tcPr>
            <w:tcW w:w="1065" w:type="dxa"/>
            <w:vMerge w:val="continue"/>
            <w:vAlign w:val="center"/>
          </w:tcPr>
          <w:p>
            <w:pPr>
              <w:jc w:val="both"/>
              <w:rPr>
                <w:rFonts w:hint="eastAsia" w:ascii="仿宋" w:hAnsi="仿宋" w:eastAsia="仿宋" w:cs="仿宋"/>
                <w:sz w:val="21"/>
                <w:szCs w:val="21"/>
                <w:vertAlign w:val="baseline"/>
                <w:lang w:eastAsia="zh-CN"/>
              </w:rPr>
            </w:pPr>
          </w:p>
        </w:tc>
        <w:tc>
          <w:tcPr>
            <w:tcW w:w="8985"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rPr>
              <w:t>按照试点工作要求建立废铅蓄电池回收台帐记录制度</w:t>
            </w:r>
          </w:p>
        </w:tc>
        <w:tc>
          <w:tcPr>
            <w:tcW w:w="1620" w:type="dxa"/>
          </w:tcPr>
          <w:p>
            <w:pPr>
              <w:rPr>
                <w:rFonts w:hint="eastAsia" w:ascii="仿宋" w:hAnsi="仿宋" w:eastAsia="仿宋" w:cs="仿宋"/>
                <w:sz w:val="21"/>
                <w:szCs w:val="21"/>
                <w:vertAlign w:val="baseline"/>
                <w:lang w:eastAsia="zh-CN"/>
              </w:rPr>
            </w:pPr>
          </w:p>
        </w:tc>
        <w:tc>
          <w:tcPr>
            <w:tcW w:w="870" w:type="dxa"/>
          </w:tcPr>
          <w:p>
            <w:pPr>
              <w:rPr>
                <w:rFonts w:hint="eastAsia" w:ascii="仿宋" w:hAnsi="仿宋" w:eastAsia="仿宋" w:cs="仿宋"/>
                <w:sz w:val="21"/>
                <w:szCs w:val="21"/>
                <w:vertAlign w:val="baseline"/>
                <w:lang w:eastAsia="zh-CN"/>
              </w:rPr>
            </w:pPr>
          </w:p>
        </w:tc>
        <w:tc>
          <w:tcPr>
            <w:tcW w:w="974" w:type="dxa"/>
          </w:tcPr>
          <w:p>
            <w:pPr>
              <w:rPr>
                <w:rFonts w:hint="eastAsia" w:ascii="仿宋" w:hAnsi="仿宋" w:eastAsia="仿宋" w:cs="仿宋"/>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Merge w:val="continue"/>
            <w:vAlign w:val="center"/>
          </w:tcPr>
          <w:p>
            <w:pPr>
              <w:jc w:val="center"/>
              <w:rPr>
                <w:rFonts w:hint="eastAsia" w:ascii="仿宋" w:hAnsi="仿宋" w:eastAsia="仿宋" w:cs="仿宋"/>
                <w:sz w:val="21"/>
                <w:szCs w:val="21"/>
                <w:vertAlign w:val="baseline"/>
                <w:lang w:eastAsia="zh-CN"/>
              </w:rPr>
            </w:pPr>
          </w:p>
        </w:tc>
        <w:tc>
          <w:tcPr>
            <w:tcW w:w="1065" w:type="dxa"/>
            <w:vMerge w:val="continue"/>
            <w:vAlign w:val="center"/>
          </w:tcPr>
          <w:p>
            <w:pPr>
              <w:jc w:val="both"/>
              <w:rPr>
                <w:rFonts w:hint="eastAsia" w:ascii="仿宋" w:hAnsi="仿宋" w:eastAsia="仿宋" w:cs="仿宋"/>
                <w:sz w:val="21"/>
                <w:szCs w:val="21"/>
                <w:vertAlign w:val="baseline"/>
                <w:lang w:eastAsia="zh-CN"/>
              </w:rPr>
            </w:pPr>
          </w:p>
        </w:tc>
        <w:tc>
          <w:tcPr>
            <w:tcW w:w="8985" w:type="dxa"/>
            <w:vAlign w:val="top"/>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制定有废铅蓄电池以旧换新、集中收集、规范转运的考核体系及实施办法。</w:t>
            </w:r>
          </w:p>
        </w:tc>
        <w:tc>
          <w:tcPr>
            <w:tcW w:w="1620" w:type="dxa"/>
          </w:tcPr>
          <w:p>
            <w:pPr>
              <w:rPr>
                <w:rFonts w:hint="eastAsia" w:ascii="仿宋" w:hAnsi="仿宋" w:eastAsia="仿宋" w:cs="仿宋"/>
                <w:sz w:val="21"/>
                <w:szCs w:val="21"/>
                <w:vertAlign w:val="baseline"/>
                <w:lang w:eastAsia="zh-CN"/>
              </w:rPr>
            </w:pPr>
          </w:p>
        </w:tc>
        <w:tc>
          <w:tcPr>
            <w:tcW w:w="870" w:type="dxa"/>
          </w:tcPr>
          <w:p>
            <w:pPr>
              <w:rPr>
                <w:rFonts w:hint="eastAsia" w:ascii="仿宋" w:hAnsi="仿宋" w:eastAsia="仿宋" w:cs="仿宋"/>
                <w:sz w:val="21"/>
                <w:szCs w:val="21"/>
                <w:vertAlign w:val="baseline"/>
                <w:lang w:eastAsia="zh-CN"/>
              </w:rPr>
            </w:pPr>
          </w:p>
        </w:tc>
        <w:tc>
          <w:tcPr>
            <w:tcW w:w="974" w:type="dxa"/>
          </w:tcPr>
          <w:p>
            <w:pPr>
              <w:rPr>
                <w:rFonts w:hint="eastAsia" w:ascii="仿宋" w:hAnsi="仿宋" w:eastAsia="仿宋" w:cs="仿宋"/>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w:t>
            </w:r>
          </w:p>
        </w:tc>
        <w:tc>
          <w:tcPr>
            <w:tcW w:w="1065" w:type="dxa"/>
            <w:vMerge w:val="restart"/>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污染防治设施</w:t>
            </w:r>
          </w:p>
        </w:tc>
        <w:tc>
          <w:tcPr>
            <w:tcW w:w="8985" w:type="dxa"/>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地面作硬化处理和防腐处理</w:t>
            </w:r>
          </w:p>
        </w:tc>
        <w:tc>
          <w:tcPr>
            <w:tcW w:w="1620" w:type="dxa"/>
          </w:tcPr>
          <w:p>
            <w:pPr>
              <w:rPr>
                <w:rFonts w:hint="eastAsia" w:ascii="仿宋" w:hAnsi="仿宋" w:eastAsia="仿宋" w:cs="仿宋"/>
                <w:sz w:val="21"/>
                <w:szCs w:val="21"/>
                <w:vertAlign w:val="baseline"/>
              </w:rPr>
            </w:pPr>
          </w:p>
        </w:tc>
        <w:tc>
          <w:tcPr>
            <w:tcW w:w="870" w:type="dxa"/>
          </w:tcPr>
          <w:p>
            <w:pPr>
              <w:rPr>
                <w:rFonts w:hint="eastAsia" w:ascii="仿宋" w:hAnsi="仿宋" w:eastAsia="仿宋" w:cs="仿宋"/>
                <w:sz w:val="21"/>
                <w:szCs w:val="21"/>
                <w:vertAlign w:val="baseline"/>
              </w:rPr>
            </w:pPr>
          </w:p>
        </w:tc>
        <w:tc>
          <w:tcPr>
            <w:tcW w:w="974" w:type="dxa"/>
          </w:tcPr>
          <w:p>
            <w:pP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Merge w:val="continue"/>
            <w:vAlign w:val="center"/>
          </w:tcPr>
          <w:p>
            <w:pPr>
              <w:jc w:val="center"/>
              <w:rPr>
                <w:rFonts w:hint="eastAsia" w:ascii="仿宋" w:hAnsi="仿宋" w:eastAsia="仿宋" w:cs="仿宋"/>
                <w:sz w:val="21"/>
                <w:szCs w:val="21"/>
                <w:vertAlign w:val="baseline"/>
              </w:rPr>
            </w:pPr>
          </w:p>
        </w:tc>
        <w:tc>
          <w:tcPr>
            <w:tcW w:w="1065" w:type="dxa"/>
            <w:vMerge w:val="continue"/>
            <w:vAlign w:val="center"/>
          </w:tcPr>
          <w:p>
            <w:pPr>
              <w:jc w:val="both"/>
              <w:rPr>
                <w:rFonts w:hint="eastAsia" w:ascii="仿宋" w:hAnsi="仿宋" w:eastAsia="仿宋" w:cs="仿宋"/>
                <w:sz w:val="21"/>
                <w:szCs w:val="21"/>
                <w:vertAlign w:val="baseline"/>
              </w:rPr>
            </w:pPr>
          </w:p>
        </w:tc>
        <w:tc>
          <w:tcPr>
            <w:tcW w:w="8985" w:type="dxa"/>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现场检查 贮存设施应防雨，必须远离其他水源和热源</w:t>
            </w:r>
          </w:p>
        </w:tc>
        <w:tc>
          <w:tcPr>
            <w:tcW w:w="1620" w:type="dxa"/>
          </w:tcPr>
          <w:p>
            <w:pPr>
              <w:rPr>
                <w:rFonts w:hint="eastAsia" w:ascii="仿宋" w:hAnsi="仿宋" w:eastAsia="仿宋" w:cs="仿宋"/>
                <w:sz w:val="21"/>
                <w:szCs w:val="21"/>
                <w:vertAlign w:val="baseline"/>
              </w:rPr>
            </w:pPr>
          </w:p>
        </w:tc>
        <w:tc>
          <w:tcPr>
            <w:tcW w:w="870" w:type="dxa"/>
          </w:tcPr>
          <w:p>
            <w:pPr>
              <w:rPr>
                <w:rFonts w:hint="eastAsia" w:ascii="仿宋" w:hAnsi="仿宋" w:eastAsia="仿宋" w:cs="仿宋"/>
                <w:sz w:val="21"/>
                <w:szCs w:val="21"/>
                <w:vertAlign w:val="baseline"/>
              </w:rPr>
            </w:pPr>
          </w:p>
        </w:tc>
        <w:tc>
          <w:tcPr>
            <w:tcW w:w="974" w:type="dxa"/>
          </w:tcPr>
          <w:p>
            <w:pP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Merge w:val="continue"/>
            <w:vAlign w:val="center"/>
          </w:tcPr>
          <w:p>
            <w:pPr>
              <w:jc w:val="center"/>
              <w:rPr>
                <w:rFonts w:hint="eastAsia" w:ascii="仿宋" w:hAnsi="仿宋" w:eastAsia="仿宋" w:cs="仿宋"/>
                <w:sz w:val="21"/>
                <w:szCs w:val="21"/>
                <w:vertAlign w:val="baseline"/>
              </w:rPr>
            </w:pPr>
          </w:p>
        </w:tc>
        <w:tc>
          <w:tcPr>
            <w:tcW w:w="1065" w:type="dxa"/>
            <w:vMerge w:val="continue"/>
            <w:vAlign w:val="center"/>
          </w:tcPr>
          <w:p>
            <w:pPr>
              <w:jc w:val="both"/>
              <w:rPr>
                <w:rFonts w:hint="eastAsia" w:ascii="仿宋" w:hAnsi="仿宋" w:eastAsia="仿宋" w:cs="仿宋"/>
                <w:sz w:val="21"/>
                <w:szCs w:val="21"/>
                <w:vertAlign w:val="baseline"/>
              </w:rPr>
            </w:pPr>
          </w:p>
        </w:tc>
        <w:tc>
          <w:tcPr>
            <w:tcW w:w="8985" w:type="dxa"/>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应有足够的废水收集系统，以便收集处理溢出液</w:t>
            </w:r>
          </w:p>
        </w:tc>
        <w:tc>
          <w:tcPr>
            <w:tcW w:w="1620" w:type="dxa"/>
          </w:tcPr>
          <w:p>
            <w:pPr>
              <w:rPr>
                <w:rFonts w:hint="eastAsia" w:ascii="仿宋" w:hAnsi="仿宋" w:eastAsia="仿宋" w:cs="仿宋"/>
                <w:sz w:val="21"/>
                <w:szCs w:val="21"/>
                <w:vertAlign w:val="baseline"/>
              </w:rPr>
            </w:pPr>
          </w:p>
        </w:tc>
        <w:tc>
          <w:tcPr>
            <w:tcW w:w="870" w:type="dxa"/>
          </w:tcPr>
          <w:p>
            <w:pPr>
              <w:rPr>
                <w:rFonts w:hint="eastAsia" w:ascii="仿宋" w:hAnsi="仿宋" w:eastAsia="仿宋" w:cs="仿宋"/>
                <w:sz w:val="21"/>
                <w:szCs w:val="21"/>
                <w:vertAlign w:val="baseline"/>
              </w:rPr>
            </w:pPr>
          </w:p>
        </w:tc>
        <w:tc>
          <w:tcPr>
            <w:tcW w:w="974" w:type="dxa"/>
          </w:tcPr>
          <w:p>
            <w:pP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Merge w:val="restart"/>
            <w:vAlign w:val="center"/>
          </w:tcPr>
          <w:p>
            <w:pPr>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w:t>
            </w:r>
          </w:p>
        </w:tc>
        <w:tc>
          <w:tcPr>
            <w:tcW w:w="1065" w:type="dxa"/>
            <w:vMerge w:val="restart"/>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事故应急救援措施</w:t>
            </w:r>
          </w:p>
        </w:tc>
        <w:tc>
          <w:tcPr>
            <w:tcW w:w="8985" w:type="dxa"/>
            <w:vAlign w:val="top"/>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制定具备有效性和可操作性的事故应急管理计划 查看应急管理计划</w:t>
            </w:r>
          </w:p>
        </w:tc>
        <w:tc>
          <w:tcPr>
            <w:tcW w:w="1620" w:type="dxa"/>
          </w:tcPr>
          <w:p>
            <w:pPr>
              <w:rPr>
                <w:rFonts w:hint="eastAsia" w:ascii="仿宋" w:hAnsi="仿宋" w:eastAsia="仿宋" w:cs="仿宋"/>
                <w:sz w:val="21"/>
                <w:szCs w:val="21"/>
                <w:vertAlign w:val="baseline"/>
              </w:rPr>
            </w:pPr>
          </w:p>
        </w:tc>
        <w:tc>
          <w:tcPr>
            <w:tcW w:w="870" w:type="dxa"/>
          </w:tcPr>
          <w:p>
            <w:pPr>
              <w:rPr>
                <w:rFonts w:hint="eastAsia" w:ascii="仿宋" w:hAnsi="仿宋" w:eastAsia="仿宋" w:cs="仿宋"/>
                <w:sz w:val="21"/>
                <w:szCs w:val="21"/>
                <w:vertAlign w:val="baseline"/>
              </w:rPr>
            </w:pPr>
          </w:p>
        </w:tc>
        <w:tc>
          <w:tcPr>
            <w:tcW w:w="974" w:type="dxa"/>
          </w:tcPr>
          <w:p>
            <w:pP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Merge w:val="continue"/>
          </w:tcPr>
          <w:p>
            <w:pPr>
              <w:rPr>
                <w:rFonts w:hint="eastAsia" w:ascii="仿宋" w:hAnsi="仿宋" w:eastAsia="仿宋" w:cs="仿宋"/>
                <w:sz w:val="21"/>
                <w:szCs w:val="21"/>
                <w:vertAlign w:val="baseline"/>
              </w:rPr>
            </w:pPr>
          </w:p>
        </w:tc>
        <w:tc>
          <w:tcPr>
            <w:tcW w:w="1065" w:type="dxa"/>
            <w:vMerge w:val="continue"/>
          </w:tcPr>
          <w:p>
            <w:pPr>
              <w:rPr>
                <w:rFonts w:hint="eastAsia" w:ascii="仿宋" w:hAnsi="仿宋" w:eastAsia="仿宋" w:cs="仿宋"/>
                <w:sz w:val="21"/>
                <w:szCs w:val="21"/>
                <w:vertAlign w:val="baseline"/>
              </w:rPr>
            </w:pPr>
          </w:p>
        </w:tc>
        <w:tc>
          <w:tcPr>
            <w:tcW w:w="8985" w:type="dxa"/>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 xml:space="preserve">配备必要的事故应急物资 </w:t>
            </w:r>
          </w:p>
        </w:tc>
        <w:tc>
          <w:tcPr>
            <w:tcW w:w="1620" w:type="dxa"/>
          </w:tcPr>
          <w:p>
            <w:pPr>
              <w:rPr>
                <w:rFonts w:hint="eastAsia" w:ascii="仿宋" w:hAnsi="仿宋" w:eastAsia="仿宋" w:cs="仿宋"/>
                <w:sz w:val="21"/>
                <w:szCs w:val="21"/>
                <w:vertAlign w:val="baseline"/>
              </w:rPr>
            </w:pPr>
          </w:p>
        </w:tc>
        <w:tc>
          <w:tcPr>
            <w:tcW w:w="870" w:type="dxa"/>
          </w:tcPr>
          <w:p>
            <w:pPr>
              <w:rPr>
                <w:rFonts w:hint="eastAsia" w:ascii="仿宋" w:hAnsi="仿宋" w:eastAsia="仿宋" w:cs="仿宋"/>
                <w:sz w:val="21"/>
                <w:szCs w:val="21"/>
                <w:vertAlign w:val="baseline"/>
              </w:rPr>
            </w:pPr>
          </w:p>
        </w:tc>
        <w:tc>
          <w:tcPr>
            <w:tcW w:w="974" w:type="dxa"/>
          </w:tcPr>
          <w:p>
            <w:pP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8</w:t>
            </w:r>
          </w:p>
        </w:tc>
        <w:tc>
          <w:tcPr>
            <w:tcW w:w="1065"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收集体系</w:t>
            </w:r>
          </w:p>
        </w:tc>
        <w:tc>
          <w:tcPr>
            <w:tcW w:w="8985" w:type="dxa"/>
          </w:tcPr>
          <w:p>
            <w:pPr>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eastAsia="zh-CN"/>
              </w:rPr>
              <w:t>不少于</w:t>
            </w:r>
            <w:r>
              <w:rPr>
                <w:rFonts w:hint="eastAsia" w:ascii="仿宋" w:hAnsi="仿宋" w:eastAsia="仿宋" w:cs="仿宋"/>
                <w:sz w:val="21"/>
                <w:szCs w:val="21"/>
                <w:vertAlign w:val="baseline"/>
                <w:lang w:val="en-US" w:eastAsia="zh-CN"/>
              </w:rPr>
              <w:t>100家</w:t>
            </w:r>
            <w:r>
              <w:rPr>
                <w:rFonts w:hint="eastAsia" w:ascii="仿宋" w:hAnsi="仿宋" w:eastAsia="仿宋" w:cs="仿宋"/>
                <w:sz w:val="21"/>
                <w:szCs w:val="21"/>
                <w:vertAlign w:val="baseline"/>
                <w:lang w:eastAsia="zh-CN"/>
              </w:rPr>
              <w:t>收集网点</w:t>
            </w:r>
          </w:p>
        </w:tc>
        <w:tc>
          <w:tcPr>
            <w:tcW w:w="1620" w:type="dxa"/>
          </w:tcPr>
          <w:p>
            <w:pPr>
              <w:rPr>
                <w:rFonts w:hint="eastAsia" w:ascii="仿宋" w:hAnsi="仿宋" w:eastAsia="仿宋" w:cs="仿宋"/>
                <w:sz w:val="21"/>
                <w:szCs w:val="21"/>
                <w:vertAlign w:val="baseline"/>
              </w:rPr>
            </w:pPr>
          </w:p>
        </w:tc>
        <w:tc>
          <w:tcPr>
            <w:tcW w:w="870" w:type="dxa"/>
          </w:tcPr>
          <w:p>
            <w:pPr>
              <w:rPr>
                <w:rFonts w:hint="eastAsia" w:ascii="仿宋" w:hAnsi="仿宋" w:eastAsia="仿宋" w:cs="仿宋"/>
                <w:sz w:val="21"/>
                <w:szCs w:val="21"/>
                <w:vertAlign w:val="baseline"/>
              </w:rPr>
            </w:pPr>
          </w:p>
        </w:tc>
        <w:tc>
          <w:tcPr>
            <w:tcW w:w="974" w:type="dxa"/>
          </w:tcPr>
          <w:p>
            <w:pPr>
              <w:rPr>
                <w:rFonts w:hint="eastAsia" w:ascii="仿宋" w:hAnsi="仿宋" w:eastAsia="仿宋" w:cs="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4174" w:type="dxa"/>
            <w:gridSpan w:val="6"/>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综合评估结果：合格□ 不合格□</w:t>
            </w:r>
          </w:p>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不合格原因说明：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4" w:type="dxa"/>
            <w:gridSpan w:val="6"/>
          </w:tcPr>
          <w:p>
            <w:pPr>
              <w:rPr>
                <w:rFonts w:hint="eastAsia" w:ascii="仿宋" w:hAnsi="仿宋" w:eastAsia="仿宋" w:cs="仿宋"/>
                <w:sz w:val="21"/>
                <w:szCs w:val="21"/>
                <w:vertAlign w:val="baseline"/>
              </w:rPr>
            </w:pPr>
            <w:r>
              <w:rPr>
                <w:rFonts w:hint="eastAsia" w:ascii="仿宋" w:hAnsi="仿宋" w:eastAsia="仿宋" w:cs="仿宋"/>
                <w:sz w:val="21"/>
                <w:szCs w:val="21"/>
                <w:vertAlign w:val="baseline"/>
              </w:rPr>
              <w:t>核查组组长及成员签字：</w:t>
            </w:r>
          </w:p>
          <w:p>
            <w:pPr>
              <w:rPr>
                <w:rFonts w:hint="eastAsia" w:ascii="仿宋" w:hAnsi="仿宋" w:eastAsia="仿宋" w:cs="仿宋"/>
                <w:sz w:val="21"/>
                <w:szCs w:val="21"/>
                <w:vertAlign w:val="baseline"/>
              </w:rPr>
            </w:pPr>
          </w:p>
        </w:tc>
      </w:tr>
    </w:tbl>
    <w:p>
      <w:pPr>
        <w:rPr>
          <w:rFonts w:hint="eastAsia" w:ascii="仿宋_GB2312" w:eastAsia="仿宋_GB2312"/>
          <w:sz w:val="28"/>
          <w:szCs w:val="28"/>
          <w:lang w:eastAsia="zh-CN"/>
        </w:rPr>
      </w:pPr>
    </w:p>
    <w:sectPr>
      <w:pgSz w:w="16838" w:h="11906" w:orient="landscape"/>
      <w:pgMar w:top="1417" w:right="1417" w:bottom="1417" w:left="141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57</w:t>
                          </w:r>
                          <w:r>
                            <w:rPr>
                              <w:rFonts w:hint="eastAsia" w:ascii="宋体" w:hAnsi="宋体" w:eastAsia="宋体" w:cs="宋体"/>
                              <w:sz w:val="28"/>
                              <w:szCs w:val="28"/>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7"/>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57</w:t>
                    </w:r>
                    <w:r>
                      <w:rPr>
                        <w:rFonts w:hint="eastAsia" w:ascii="宋体" w:hAnsi="宋体" w:eastAsia="宋体" w:cs="宋体"/>
                        <w:sz w:val="28"/>
                        <w:szCs w:val="28"/>
                        <w:lang w:val="zh-CN"/>
                      </w:rPr>
                      <w:fldChar w:fldCharType="end"/>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AA"/>
    <w:rsid w:val="000002A4"/>
    <w:rsid w:val="00001AD1"/>
    <w:rsid w:val="000023E3"/>
    <w:rsid w:val="00010B4C"/>
    <w:rsid w:val="00011808"/>
    <w:rsid w:val="000207CB"/>
    <w:rsid w:val="00024ABE"/>
    <w:rsid w:val="00025BDD"/>
    <w:rsid w:val="00044064"/>
    <w:rsid w:val="000474DE"/>
    <w:rsid w:val="00052080"/>
    <w:rsid w:val="00055B42"/>
    <w:rsid w:val="000633C4"/>
    <w:rsid w:val="00071E97"/>
    <w:rsid w:val="00077A6B"/>
    <w:rsid w:val="00081021"/>
    <w:rsid w:val="00084280"/>
    <w:rsid w:val="00092B2A"/>
    <w:rsid w:val="000A0405"/>
    <w:rsid w:val="000A282F"/>
    <w:rsid w:val="000A2C27"/>
    <w:rsid w:val="000A5170"/>
    <w:rsid w:val="000A7F96"/>
    <w:rsid w:val="000B472D"/>
    <w:rsid w:val="000B70EE"/>
    <w:rsid w:val="000C519F"/>
    <w:rsid w:val="000C5A90"/>
    <w:rsid w:val="000D37B7"/>
    <w:rsid w:val="000D7DA3"/>
    <w:rsid w:val="000E15C5"/>
    <w:rsid w:val="000E6983"/>
    <w:rsid w:val="000F1C29"/>
    <w:rsid w:val="000F4D00"/>
    <w:rsid w:val="000F4F67"/>
    <w:rsid w:val="00100BE3"/>
    <w:rsid w:val="00156C33"/>
    <w:rsid w:val="0016301F"/>
    <w:rsid w:val="0016416D"/>
    <w:rsid w:val="00175256"/>
    <w:rsid w:val="00176235"/>
    <w:rsid w:val="00177B64"/>
    <w:rsid w:val="00183AFD"/>
    <w:rsid w:val="001860F0"/>
    <w:rsid w:val="00190D5D"/>
    <w:rsid w:val="00193FC9"/>
    <w:rsid w:val="001A1F8B"/>
    <w:rsid w:val="001C7CE9"/>
    <w:rsid w:val="001D0E76"/>
    <w:rsid w:val="001D38A8"/>
    <w:rsid w:val="001F30F2"/>
    <w:rsid w:val="001F6ADE"/>
    <w:rsid w:val="002009A5"/>
    <w:rsid w:val="00204B85"/>
    <w:rsid w:val="00214C53"/>
    <w:rsid w:val="002159B6"/>
    <w:rsid w:val="00215FBD"/>
    <w:rsid w:val="00223A67"/>
    <w:rsid w:val="002337C4"/>
    <w:rsid w:val="002342DF"/>
    <w:rsid w:val="00241BEB"/>
    <w:rsid w:val="002501F6"/>
    <w:rsid w:val="00254778"/>
    <w:rsid w:val="00261213"/>
    <w:rsid w:val="00261662"/>
    <w:rsid w:val="00261844"/>
    <w:rsid w:val="00265150"/>
    <w:rsid w:val="00265B91"/>
    <w:rsid w:val="00280B24"/>
    <w:rsid w:val="00284873"/>
    <w:rsid w:val="00295E90"/>
    <w:rsid w:val="00296C1C"/>
    <w:rsid w:val="002A117E"/>
    <w:rsid w:val="002A613D"/>
    <w:rsid w:val="002A65D8"/>
    <w:rsid w:val="002A6CC2"/>
    <w:rsid w:val="002B2ED6"/>
    <w:rsid w:val="002B6555"/>
    <w:rsid w:val="002B7FB7"/>
    <w:rsid w:val="002C25EE"/>
    <w:rsid w:val="002C5609"/>
    <w:rsid w:val="002E192D"/>
    <w:rsid w:val="002E205B"/>
    <w:rsid w:val="002F0F82"/>
    <w:rsid w:val="002F52A7"/>
    <w:rsid w:val="002F617B"/>
    <w:rsid w:val="002F7E85"/>
    <w:rsid w:val="0031063F"/>
    <w:rsid w:val="003268E5"/>
    <w:rsid w:val="003316D4"/>
    <w:rsid w:val="00333147"/>
    <w:rsid w:val="00384571"/>
    <w:rsid w:val="003862B6"/>
    <w:rsid w:val="00387D5E"/>
    <w:rsid w:val="003969D4"/>
    <w:rsid w:val="003A5481"/>
    <w:rsid w:val="003B16CB"/>
    <w:rsid w:val="003B21DC"/>
    <w:rsid w:val="003B2CBB"/>
    <w:rsid w:val="003B49EF"/>
    <w:rsid w:val="003C16DD"/>
    <w:rsid w:val="003C1ED4"/>
    <w:rsid w:val="003C2ABF"/>
    <w:rsid w:val="003C544B"/>
    <w:rsid w:val="003D6125"/>
    <w:rsid w:val="003E33EB"/>
    <w:rsid w:val="00406089"/>
    <w:rsid w:val="00406E29"/>
    <w:rsid w:val="00407215"/>
    <w:rsid w:val="00412416"/>
    <w:rsid w:val="004207A4"/>
    <w:rsid w:val="00421DDF"/>
    <w:rsid w:val="00442F4F"/>
    <w:rsid w:val="004434F2"/>
    <w:rsid w:val="004455DE"/>
    <w:rsid w:val="00452219"/>
    <w:rsid w:val="00460687"/>
    <w:rsid w:val="00472F0B"/>
    <w:rsid w:val="004730C0"/>
    <w:rsid w:val="00487D82"/>
    <w:rsid w:val="0049014F"/>
    <w:rsid w:val="004939C3"/>
    <w:rsid w:val="004B5E51"/>
    <w:rsid w:val="004C4943"/>
    <w:rsid w:val="004D6FE8"/>
    <w:rsid w:val="004E1D43"/>
    <w:rsid w:val="004E2EC3"/>
    <w:rsid w:val="004F728E"/>
    <w:rsid w:val="00537BFD"/>
    <w:rsid w:val="005416BF"/>
    <w:rsid w:val="00546146"/>
    <w:rsid w:val="00546E58"/>
    <w:rsid w:val="00553FA7"/>
    <w:rsid w:val="00554223"/>
    <w:rsid w:val="00562B17"/>
    <w:rsid w:val="00563AA2"/>
    <w:rsid w:val="005703EB"/>
    <w:rsid w:val="00573D5E"/>
    <w:rsid w:val="00596562"/>
    <w:rsid w:val="005A0138"/>
    <w:rsid w:val="005B0CF0"/>
    <w:rsid w:val="005B1F1B"/>
    <w:rsid w:val="005D1E49"/>
    <w:rsid w:val="005D1F6E"/>
    <w:rsid w:val="005D7DDC"/>
    <w:rsid w:val="005E3B40"/>
    <w:rsid w:val="005F0781"/>
    <w:rsid w:val="005F5EC3"/>
    <w:rsid w:val="00612A5D"/>
    <w:rsid w:val="0061540C"/>
    <w:rsid w:val="00617C15"/>
    <w:rsid w:val="00620BD3"/>
    <w:rsid w:val="00633918"/>
    <w:rsid w:val="00642FAC"/>
    <w:rsid w:val="00644DAA"/>
    <w:rsid w:val="006458AA"/>
    <w:rsid w:val="00653A8B"/>
    <w:rsid w:val="00662293"/>
    <w:rsid w:val="006659DA"/>
    <w:rsid w:val="0066713E"/>
    <w:rsid w:val="00682528"/>
    <w:rsid w:val="00690543"/>
    <w:rsid w:val="006B7BB8"/>
    <w:rsid w:val="006C44AA"/>
    <w:rsid w:val="006C5324"/>
    <w:rsid w:val="006D5CDB"/>
    <w:rsid w:val="006E4BB3"/>
    <w:rsid w:val="006E51E0"/>
    <w:rsid w:val="006F1725"/>
    <w:rsid w:val="006F53B9"/>
    <w:rsid w:val="00704932"/>
    <w:rsid w:val="0071120C"/>
    <w:rsid w:val="00717CBD"/>
    <w:rsid w:val="0072572E"/>
    <w:rsid w:val="007455DC"/>
    <w:rsid w:val="0076102B"/>
    <w:rsid w:val="007678E4"/>
    <w:rsid w:val="00773FAA"/>
    <w:rsid w:val="007743F2"/>
    <w:rsid w:val="00776866"/>
    <w:rsid w:val="00777BD1"/>
    <w:rsid w:val="007918AD"/>
    <w:rsid w:val="007A21E0"/>
    <w:rsid w:val="007B0D8E"/>
    <w:rsid w:val="007B1F08"/>
    <w:rsid w:val="007C1F6F"/>
    <w:rsid w:val="007D27E1"/>
    <w:rsid w:val="007D7613"/>
    <w:rsid w:val="007E6130"/>
    <w:rsid w:val="00803D90"/>
    <w:rsid w:val="0084575A"/>
    <w:rsid w:val="00854123"/>
    <w:rsid w:val="00856DC7"/>
    <w:rsid w:val="0087769E"/>
    <w:rsid w:val="00891721"/>
    <w:rsid w:val="00896DEC"/>
    <w:rsid w:val="008A471C"/>
    <w:rsid w:val="008A621F"/>
    <w:rsid w:val="008A7040"/>
    <w:rsid w:val="008A7249"/>
    <w:rsid w:val="008B5892"/>
    <w:rsid w:val="008F74AB"/>
    <w:rsid w:val="00902E9B"/>
    <w:rsid w:val="00904B7D"/>
    <w:rsid w:val="00912E30"/>
    <w:rsid w:val="0091357A"/>
    <w:rsid w:val="0092319B"/>
    <w:rsid w:val="00926A18"/>
    <w:rsid w:val="00931FE5"/>
    <w:rsid w:val="00942812"/>
    <w:rsid w:val="0095487B"/>
    <w:rsid w:val="0096173F"/>
    <w:rsid w:val="00973EA0"/>
    <w:rsid w:val="0098363A"/>
    <w:rsid w:val="00994570"/>
    <w:rsid w:val="009B6873"/>
    <w:rsid w:val="009B6F73"/>
    <w:rsid w:val="009D7DF1"/>
    <w:rsid w:val="009E3642"/>
    <w:rsid w:val="00A10321"/>
    <w:rsid w:val="00A11954"/>
    <w:rsid w:val="00A25012"/>
    <w:rsid w:val="00A312C6"/>
    <w:rsid w:val="00A51B8A"/>
    <w:rsid w:val="00A55D7A"/>
    <w:rsid w:val="00A5791E"/>
    <w:rsid w:val="00A673C0"/>
    <w:rsid w:val="00A723C8"/>
    <w:rsid w:val="00A836B8"/>
    <w:rsid w:val="00A94185"/>
    <w:rsid w:val="00AA36BE"/>
    <w:rsid w:val="00AA4287"/>
    <w:rsid w:val="00AB5168"/>
    <w:rsid w:val="00AC06A0"/>
    <w:rsid w:val="00AC1F14"/>
    <w:rsid w:val="00AC78C4"/>
    <w:rsid w:val="00AD5374"/>
    <w:rsid w:val="00AF4510"/>
    <w:rsid w:val="00B01E30"/>
    <w:rsid w:val="00B107C1"/>
    <w:rsid w:val="00B1081C"/>
    <w:rsid w:val="00B11926"/>
    <w:rsid w:val="00B166C7"/>
    <w:rsid w:val="00B168F1"/>
    <w:rsid w:val="00B341ED"/>
    <w:rsid w:val="00B412EE"/>
    <w:rsid w:val="00B50E70"/>
    <w:rsid w:val="00B715F8"/>
    <w:rsid w:val="00B76ED9"/>
    <w:rsid w:val="00B8073C"/>
    <w:rsid w:val="00B853D1"/>
    <w:rsid w:val="00BA2032"/>
    <w:rsid w:val="00BA271B"/>
    <w:rsid w:val="00BA27D6"/>
    <w:rsid w:val="00BA3377"/>
    <w:rsid w:val="00BA76A4"/>
    <w:rsid w:val="00BB24D7"/>
    <w:rsid w:val="00BB264A"/>
    <w:rsid w:val="00BC0CB1"/>
    <w:rsid w:val="00BC2D79"/>
    <w:rsid w:val="00BD0925"/>
    <w:rsid w:val="00BD6755"/>
    <w:rsid w:val="00BE0149"/>
    <w:rsid w:val="00BE2D65"/>
    <w:rsid w:val="00BE3593"/>
    <w:rsid w:val="00BE6DE7"/>
    <w:rsid w:val="00BE7482"/>
    <w:rsid w:val="00C169A4"/>
    <w:rsid w:val="00C31127"/>
    <w:rsid w:val="00C3253A"/>
    <w:rsid w:val="00C32962"/>
    <w:rsid w:val="00C521F7"/>
    <w:rsid w:val="00C55646"/>
    <w:rsid w:val="00C70406"/>
    <w:rsid w:val="00C72539"/>
    <w:rsid w:val="00C956E6"/>
    <w:rsid w:val="00CA2D23"/>
    <w:rsid w:val="00CB72AD"/>
    <w:rsid w:val="00CC638F"/>
    <w:rsid w:val="00CD2D7A"/>
    <w:rsid w:val="00CD302E"/>
    <w:rsid w:val="00CD66F8"/>
    <w:rsid w:val="00CE05BC"/>
    <w:rsid w:val="00CF03FF"/>
    <w:rsid w:val="00D11694"/>
    <w:rsid w:val="00D30FB3"/>
    <w:rsid w:val="00D3382C"/>
    <w:rsid w:val="00D33A7A"/>
    <w:rsid w:val="00D342CF"/>
    <w:rsid w:val="00D41B81"/>
    <w:rsid w:val="00D47AE7"/>
    <w:rsid w:val="00D55EA4"/>
    <w:rsid w:val="00D72419"/>
    <w:rsid w:val="00D73CEB"/>
    <w:rsid w:val="00D824F1"/>
    <w:rsid w:val="00D9583A"/>
    <w:rsid w:val="00D9643C"/>
    <w:rsid w:val="00DA5FE6"/>
    <w:rsid w:val="00DB19F8"/>
    <w:rsid w:val="00DB1A03"/>
    <w:rsid w:val="00DB31A9"/>
    <w:rsid w:val="00DB6C97"/>
    <w:rsid w:val="00DC540F"/>
    <w:rsid w:val="00DD4008"/>
    <w:rsid w:val="00DE602C"/>
    <w:rsid w:val="00DF138A"/>
    <w:rsid w:val="00DF4E45"/>
    <w:rsid w:val="00E1038F"/>
    <w:rsid w:val="00E106C7"/>
    <w:rsid w:val="00E178CB"/>
    <w:rsid w:val="00E41FCD"/>
    <w:rsid w:val="00E42453"/>
    <w:rsid w:val="00E4326D"/>
    <w:rsid w:val="00E46C58"/>
    <w:rsid w:val="00E52A35"/>
    <w:rsid w:val="00E54193"/>
    <w:rsid w:val="00E54780"/>
    <w:rsid w:val="00E55052"/>
    <w:rsid w:val="00E61332"/>
    <w:rsid w:val="00E7437E"/>
    <w:rsid w:val="00E8328D"/>
    <w:rsid w:val="00E91154"/>
    <w:rsid w:val="00EA3335"/>
    <w:rsid w:val="00EA3C03"/>
    <w:rsid w:val="00EB3A87"/>
    <w:rsid w:val="00EC4FCF"/>
    <w:rsid w:val="00ED0696"/>
    <w:rsid w:val="00ED438A"/>
    <w:rsid w:val="00EE4B12"/>
    <w:rsid w:val="00EF2482"/>
    <w:rsid w:val="00EF3F23"/>
    <w:rsid w:val="00EF443D"/>
    <w:rsid w:val="00EF5B32"/>
    <w:rsid w:val="00EF63C3"/>
    <w:rsid w:val="00F00A41"/>
    <w:rsid w:val="00F01E7D"/>
    <w:rsid w:val="00F01FB3"/>
    <w:rsid w:val="00F05F33"/>
    <w:rsid w:val="00F1647C"/>
    <w:rsid w:val="00F16514"/>
    <w:rsid w:val="00F2014A"/>
    <w:rsid w:val="00F21C16"/>
    <w:rsid w:val="00F32A27"/>
    <w:rsid w:val="00F43126"/>
    <w:rsid w:val="00F50D43"/>
    <w:rsid w:val="00F60498"/>
    <w:rsid w:val="00F61A20"/>
    <w:rsid w:val="00F713EA"/>
    <w:rsid w:val="00F72873"/>
    <w:rsid w:val="00F802A6"/>
    <w:rsid w:val="00F9471F"/>
    <w:rsid w:val="00F9625F"/>
    <w:rsid w:val="00FA451C"/>
    <w:rsid w:val="00FA72F3"/>
    <w:rsid w:val="00FB0236"/>
    <w:rsid w:val="00FC27B0"/>
    <w:rsid w:val="00FD091F"/>
    <w:rsid w:val="00FD0F68"/>
    <w:rsid w:val="00FD1334"/>
    <w:rsid w:val="00FD2401"/>
    <w:rsid w:val="00FE3D03"/>
    <w:rsid w:val="00FE52B8"/>
    <w:rsid w:val="00FE6549"/>
    <w:rsid w:val="00FF0E73"/>
    <w:rsid w:val="061D179A"/>
    <w:rsid w:val="08D5105A"/>
    <w:rsid w:val="090C2EEB"/>
    <w:rsid w:val="09200E97"/>
    <w:rsid w:val="092052C7"/>
    <w:rsid w:val="0B7F5628"/>
    <w:rsid w:val="0C515D20"/>
    <w:rsid w:val="0C9F6C50"/>
    <w:rsid w:val="0CA10A67"/>
    <w:rsid w:val="0CAC7DAA"/>
    <w:rsid w:val="0D0613BB"/>
    <w:rsid w:val="10D27134"/>
    <w:rsid w:val="113C0EBC"/>
    <w:rsid w:val="119C30A0"/>
    <w:rsid w:val="12364BF7"/>
    <w:rsid w:val="1263445B"/>
    <w:rsid w:val="13062E31"/>
    <w:rsid w:val="15A1599F"/>
    <w:rsid w:val="163E61A4"/>
    <w:rsid w:val="164735C7"/>
    <w:rsid w:val="1C6A7273"/>
    <w:rsid w:val="1CCE095B"/>
    <w:rsid w:val="1CE34BF4"/>
    <w:rsid w:val="1DFA06A5"/>
    <w:rsid w:val="1DFE350F"/>
    <w:rsid w:val="20A53304"/>
    <w:rsid w:val="223D3FBE"/>
    <w:rsid w:val="25495C66"/>
    <w:rsid w:val="26304DE2"/>
    <w:rsid w:val="2AA40D3C"/>
    <w:rsid w:val="2D0E12EF"/>
    <w:rsid w:val="2E0908E0"/>
    <w:rsid w:val="2F447845"/>
    <w:rsid w:val="2F5D022E"/>
    <w:rsid w:val="308C6EB7"/>
    <w:rsid w:val="30F93938"/>
    <w:rsid w:val="322A66A7"/>
    <w:rsid w:val="32BE4C62"/>
    <w:rsid w:val="34AA5E3A"/>
    <w:rsid w:val="38B36BCB"/>
    <w:rsid w:val="3C315176"/>
    <w:rsid w:val="3CBE02DB"/>
    <w:rsid w:val="3D7B1002"/>
    <w:rsid w:val="42724D3C"/>
    <w:rsid w:val="45A24BFF"/>
    <w:rsid w:val="46A43F42"/>
    <w:rsid w:val="482C44CE"/>
    <w:rsid w:val="547D06D0"/>
    <w:rsid w:val="54C17AE8"/>
    <w:rsid w:val="560A41F1"/>
    <w:rsid w:val="575A513A"/>
    <w:rsid w:val="5964449C"/>
    <w:rsid w:val="596708AE"/>
    <w:rsid w:val="597107F4"/>
    <w:rsid w:val="59954F7D"/>
    <w:rsid w:val="59AD5088"/>
    <w:rsid w:val="5A42517F"/>
    <w:rsid w:val="5CFE53F0"/>
    <w:rsid w:val="5F2209C9"/>
    <w:rsid w:val="65200669"/>
    <w:rsid w:val="65951BAD"/>
    <w:rsid w:val="66617B0A"/>
    <w:rsid w:val="689435F3"/>
    <w:rsid w:val="697B369A"/>
    <w:rsid w:val="6AD175EB"/>
    <w:rsid w:val="704203A4"/>
    <w:rsid w:val="715B2A2E"/>
    <w:rsid w:val="71C66378"/>
    <w:rsid w:val="73794345"/>
    <w:rsid w:val="73E11AAA"/>
    <w:rsid w:val="759F2083"/>
    <w:rsid w:val="76CC62D2"/>
    <w:rsid w:val="7A760185"/>
    <w:rsid w:val="7B0B42D6"/>
    <w:rsid w:val="7B106406"/>
    <w:rsid w:val="7BEA5CAE"/>
    <w:rsid w:val="7C063E10"/>
    <w:rsid w:val="7FCA57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22"/>
    <w:unhideWhenUsed/>
    <w:qFormat/>
    <w:uiPriority w:val="99"/>
    <w:rPr>
      <w:rFonts w:ascii="宋体" w:eastAsia="宋体"/>
      <w:sz w:val="18"/>
      <w:szCs w:val="18"/>
    </w:rPr>
  </w:style>
  <w:style w:type="paragraph" w:styleId="5">
    <w:name w:val="Date"/>
    <w:basedOn w:val="1"/>
    <w:next w:val="1"/>
    <w:link w:val="29"/>
    <w:unhideWhenUsed/>
    <w:qFormat/>
    <w:uiPriority w:val="99"/>
    <w:pPr>
      <w:ind w:left="100" w:leftChars="2500"/>
    </w:pPr>
  </w:style>
  <w:style w:type="paragraph" w:styleId="6">
    <w:name w:val="Balloon Text"/>
    <w:basedOn w:val="1"/>
    <w:link w:val="24"/>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7"/>
    <w:qFormat/>
    <w:uiPriority w:val="10"/>
    <w:pPr>
      <w:spacing w:before="240" w:after="60"/>
      <w:jc w:val="center"/>
      <w:outlineLvl w:val="0"/>
    </w:pPr>
    <w:rPr>
      <w:rFonts w:eastAsia="宋体" w:asciiTheme="majorHAnsi" w:hAnsiTheme="majorHAnsi" w:cstheme="majorBidi"/>
      <w:b/>
      <w:bCs/>
      <w:sz w:val="32"/>
      <w:szCs w:val="32"/>
    </w:rPr>
  </w:style>
  <w:style w:type="character" w:styleId="14">
    <w:name w:val="page number"/>
    <w:basedOn w:val="13"/>
    <w:qFormat/>
    <w:uiPriority w:val="0"/>
  </w:style>
  <w:style w:type="character" w:styleId="15">
    <w:name w:val="Hyperlink"/>
    <w:basedOn w:val="13"/>
    <w:unhideWhenUsed/>
    <w:qFormat/>
    <w:uiPriority w:val="99"/>
    <w:rPr>
      <w:color w:val="0000FF" w:themeColor="hyperlink"/>
      <w:u w:val="single"/>
      <w14:textFill>
        <w14:solidFill>
          <w14:schemeClr w14:val="hlink"/>
        </w14:solidFill>
      </w14:textFill>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18">
    <w:name w:val="列出段落1"/>
    <w:basedOn w:val="1"/>
    <w:qFormat/>
    <w:uiPriority w:val="34"/>
    <w:pPr>
      <w:ind w:firstLine="420" w:firstLineChars="200"/>
    </w:pPr>
  </w:style>
  <w:style w:type="character" w:customStyle="1" w:styleId="19">
    <w:name w:val="页眉 Char"/>
    <w:basedOn w:val="13"/>
    <w:link w:val="8"/>
    <w:semiHidden/>
    <w:qFormat/>
    <w:uiPriority w:val="99"/>
    <w:rPr>
      <w:sz w:val="18"/>
      <w:szCs w:val="18"/>
    </w:rPr>
  </w:style>
  <w:style w:type="character" w:customStyle="1" w:styleId="20">
    <w:name w:val="页脚 Char"/>
    <w:basedOn w:val="13"/>
    <w:link w:val="7"/>
    <w:qFormat/>
    <w:uiPriority w:val="99"/>
    <w:rPr>
      <w:sz w:val="18"/>
      <w:szCs w:val="18"/>
    </w:rPr>
  </w:style>
  <w:style w:type="character" w:customStyle="1" w:styleId="21">
    <w:name w:val="标题 1 Char"/>
    <w:basedOn w:val="13"/>
    <w:link w:val="2"/>
    <w:qFormat/>
    <w:uiPriority w:val="9"/>
    <w:rPr>
      <w:b/>
      <w:bCs/>
      <w:kern w:val="44"/>
      <w:sz w:val="44"/>
      <w:szCs w:val="44"/>
    </w:rPr>
  </w:style>
  <w:style w:type="character" w:customStyle="1" w:styleId="22">
    <w:name w:val="文档结构图 Char"/>
    <w:basedOn w:val="13"/>
    <w:link w:val="4"/>
    <w:semiHidden/>
    <w:qFormat/>
    <w:uiPriority w:val="99"/>
    <w:rPr>
      <w:rFonts w:ascii="宋体" w:eastAsia="宋体"/>
      <w:sz w:val="18"/>
      <w:szCs w:val="18"/>
    </w:rPr>
  </w:style>
  <w:style w:type="character" w:customStyle="1" w:styleId="23">
    <w:name w:val="标题 2 Char"/>
    <w:basedOn w:val="13"/>
    <w:link w:val="3"/>
    <w:qFormat/>
    <w:uiPriority w:val="9"/>
    <w:rPr>
      <w:rFonts w:asciiTheme="majorHAnsi" w:hAnsiTheme="majorHAnsi" w:eastAsiaTheme="majorEastAsia" w:cstheme="majorBidi"/>
      <w:b/>
      <w:bCs/>
      <w:sz w:val="32"/>
      <w:szCs w:val="32"/>
    </w:rPr>
  </w:style>
  <w:style w:type="character" w:customStyle="1" w:styleId="24">
    <w:name w:val="批注框文本 Char"/>
    <w:basedOn w:val="13"/>
    <w:link w:val="6"/>
    <w:semiHidden/>
    <w:qFormat/>
    <w:uiPriority w:val="99"/>
    <w:rPr>
      <w:kern w:val="2"/>
      <w:sz w:val="18"/>
      <w:szCs w:val="18"/>
    </w:rPr>
  </w:style>
  <w:style w:type="paragraph" w:customStyle="1" w:styleId="25">
    <w:name w:val="列出段落2"/>
    <w:basedOn w:val="1"/>
    <w:unhideWhenUsed/>
    <w:qFormat/>
    <w:uiPriority w:val="34"/>
    <w:pPr>
      <w:ind w:firstLine="420" w:firstLineChars="200"/>
    </w:pPr>
  </w:style>
  <w:style w:type="paragraph" w:customStyle="1" w:styleId="26">
    <w:name w:val="Normal+1"/>
    <w:basedOn w:val="1"/>
    <w:next w:val="1"/>
    <w:qFormat/>
    <w:uiPriority w:val="0"/>
    <w:pPr>
      <w:autoSpaceDE w:val="0"/>
      <w:autoSpaceDN w:val="0"/>
      <w:adjustRightInd w:val="0"/>
      <w:jc w:val="left"/>
    </w:pPr>
    <w:rPr>
      <w:rFonts w:ascii="宋体" w:hAnsi="Times New Roman" w:eastAsia="宋体" w:cs="Times New Roman"/>
      <w:kern w:val="0"/>
      <w:sz w:val="24"/>
      <w:szCs w:val="24"/>
    </w:rPr>
  </w:style>
  <w:style w:type="character" w:customStyle="1" w:styleId="27">
    <w:name w:val="标题 Char"/>
    <w:basedOn w:val="13"/>
    <w:link w:val="12"/>
    <w:qFormat/>
    <w:uiPriority w:val="10"/>
    <w:rPr>
      <w:rFonts w:eastAsia="宋体" w:asciiTheme="majorHAnsi" w:hAnsiTheme="majorHAnsi" w:cstheme="majorBidi"/>
      <w:b/>
      <w:bCs/>
      <w:kern w:val="2"/>
      <w:sz w:val="32"/>
      <w:szCs w:val="32"/>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日期 Char"/>
    <w:basedOn w:val="13"/>
    <w:link w:val="5"/>
    <w:semiHidden/>
    <w:qFormat/>
    <w:uiPriority w:val="99"/>
    <w:rPr>
      <w:kern w:val="2"/>
      <w:sz w:val="21"/>
      <w:szCs w:val="22"/>
    </w:rPr>
  </w:style>
  <w:style w:type="paragraph" w:customStyle="1" w:styleId="30">
    <w:name w:val="列出段落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97355-3B57-4C7E-A014-087AF77B14F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4703</Words>
  <Characters>26809</Characters>
  <Lines>223</Lines>
  <Paragraphs>62</Paragraphs>
  <ScaleCrop>false</ScaleCrop>
  <LinksUpToDate>false</LinksUpToDate>
  <CharactersWithSpaces>31450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2016-12-02T05:49:00Z</dcterms:created>
  <dc:creator>石玉敏</dc:creator>
  <cp:lastModifiedBy>Administrator</cp:lastModifiedBy>
  <cp:lastPrinted>2019-04-18T07:37:00Z</cp:lastPrinted>
  <dcterms:modified xsi:type="dcterms:W3CDTF">2019-04-29T07:13:06Z</dcterms:modified>
  <dc:title>青海省废铅电池集中收集和跨区域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